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2A9C7D" w14:textId="507F8A08" w:rsidR="00B2532D" w:rsidRPr="00671AAE" w:rsidRDefault="0066125F" w:rsidP="0066125F">
      <w:pPr>
        <w:spacing w:before="4000"/>
      </w:pPr>
      <w:r w:rsidRPr="0066125F">
        <w:rPr>
          <w:sz w:val="52"/>
          <w:szCs w:val="52"/>
        </w:rPr>
        <w:t xml:space="preserve">Утечки </w:t>
      </w:r>
      <w:r w:rsidR="004E4E52">
        <w:rPr>
          <w:sz w:val="52"/>
          <w:szCs w:val="52"/>
        </w:rPr>
        <w:t xml:space="preserve">конфиденциальных </w:t>
      </w:r>
      <w:r w:rsidRPr="0066125F">
        <w:rPr>
          <w:sz w:val="52"/>
          <w:szCs w:val="52"/>
        </w:rPr>
        <w:t xml:space="preserve">данных </w:t>
      </w:r>
      <w:r w:rsidR="00577AAC">
        <w:rPr>
          <w:sz w:val="52"/>
          <w:szCs w:val="52"/>
        </w:rPr>
        <w:t xml:space="preserve">коммерческих компаний и государственных </w:t>
      </w:r>
      <w:r w:rsidRPr="0066125F">
        <w:rPr>
          <w:sz w:val="52"/>
          <w:szCs w:val="52"/>
        </w:rPr>
        <w:t>организаций</w:t>
      </w:r>
      <w:r w:rsidR="004E4E52" w:rsidRPr="004E4E52">
        <w:rPr>
          <w:sz w:val="52"/>
          <w:szCs w:val="52"/>
        </w:rPr>
        <w:t xml:space="preserve">, </w:t>
      </w:r>
      <w:r w:rsidR="004E4E52">
        <w:rPr>
          <w:sz w:val="52"/>
          <w:szCs w:val="52"/>
        </w:rPr>
        <w:t>произошедшие</w:t>
      </w:r>
      <w:r w:rsidR="009E7A71">
        <w:rPr>
          <w:sz w:val="52"/>
          <w:szCs w:val="52"/>
        </w:rPr>
        <w:t xml:space="preserve"> по вине или неосторожности</w:t>
      </w:r>
      <w:r w:rsidRPr="0066125F">
        <w:rPr>
          <w:sz w:val="52"/>
          <w:szCs w:val="52"/>
        </w:rPr>
        <w:t xml:space="preserve"> внутреннего нарушителя. Сравнительное исследование. 2013-201</w:t>
      </w:r>
      <w:r w:rsidRPr="00D40C94">
        <w:rPr>
          <w:sz w:val="52"/>
          <w:szCs w:val="52"/>
        </w:rPr>
        <w:t>7</w:t>
      </w:r>
      <w:r w:rsidRPr="0066125F">
        <w:rPr>
          <w:sz w:val="52"/>
          <w:szCs w:val="52"/>
        </w:rPr>
        <w:t xml:space="preserve"> гг.</w:t>
      </w:r>
      <w:r w:rsidR="00B2532D" w:rsidRPr="00671AAE">
        <w:br w:type="page"/>
      </w:r>
    </w:p>
    <w:bookmarkStart w:id="0" w:name="_Toc528251546" w:displacedByCustomXml="next"/>
    <w:sdt>
      <w:sdtPr>
        <w:rPr>
          <w:b w:val="0"/>
          <w:bCs w:val="0"/>
          <w:color w:val="auto"/>
          <w:sz w:val="24"/>
          <w:szCs w:val="24"/>
        </w:rPr>
        <w:id w:val="189883065"/>
        <w:docPartObj>
          <w:docPartGallery w:val="Table of Contents"/>
          <w:docPartUnique/>
        </w:docPartObj>
      </w:sdtPr>
      <w:sdtEndPr/>
      <w:sdtContent>
        <w:p w14:paraId="38DF6981" w14:textId="00D4FADD" w:rsidR="00F52062" w:rsidRDefault="00F52062" w:rsidP="00F52062">
          <w:pPr>
            <w:pStyle w:val="1"/>
          </w:pPr>
          <w:r>
            <w:t>Оглавление</w:t>
          </w:r>
          <w:bookmarkEnd w:id="0"/>
        </w:p>
        <w:p w14:paraId="64C8D9D0" w14:textId="575A4410" w:rsidR="00720408" w:rsidRDefault="00720408">
          <w:pPr>
            <w:pStyle w:val="11"/>
            <w:rPr>
              <w:rFonts w:asciiTheme="minorHAnsi" w:eastAsiaTheme="minorEastAsia" w:hAnsiTheme="minorHAnsi" w:cstheme="minorBidi"/>
              <w:kern w:val="0"/>
              <w:sz w:val="22"/>
              <w:szCs w:val="22"/>
            </w:rPr>
          </w:pPr>
          <w:r>
            <w:rPr>
              <w:b/>
            </w:rPr>
            <w:fldChar w:fldCharType="begin"/>
          </w:r>
          <w:r>
            <w:rPr>
              <w:b/>
            </w:rPr>
            <w:instrText xml:space="preserve"> TOC \o "1-1" \h \z \u </w:instrText>
          </w:r>
          <w:r>
            <w:rPr>
              <w:b/>
            </w:rPr>
            <w:fldChar w:fldCharType="separate"/>
          </w:r>
          <w:hyperlink w:anchor="_Toc528251546" w:history="1">
            <w:r w:rsidRPr="00DA50BC">
              <w:rPr>
                <w:rStyle w:val="af1"/>
              </w:rPr>
              <w:t>Оглавление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_Toc528251546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0858EC50" w14:textId="15050A90" w:rsidR="00720408" w:rsidRDefault="00AC1C05">
          <w:pPr>
            <w:pStyle w:val="11"/>
            <w:rPr>
              <w:rFonts w:asciiTheme="minorHAnsi" w:eastAsiaTheme="minorEastAsia" w:hAnsiTheme="minorHAnsi" w:cstheme="minorBidi"/>
              <w:kern w:val="0"/>
              <w:sz w:val="22"/>
              <w:szCs w:val="22"/>
            </w:rPr>
          </w:pPr>
          <w:hyperlink w:anchor="_Toc528251547" w:history="1">
            <w:r w:rsidR="00720408" w:rsidRPr="00DA50BC">
              <w:rPr>
                <w:rStyle w:val="af1"/>
              </w:rPr>
              <w:t>Только цифры</w:t>
            </w:r>
            <w:r w:rsidR="00720408">
              <w:rPr>
                <w:webHidden/>
              </w:rPr>
              <w:tab/>
            </w:r>
            <w:r w:rsidR="00720408">
              <w:rPr>
                <w:webHidden/>
              </w:rPr>
              <w:fldChar w:fldCharType="begin"/>
            </w:r>
            <w:r w:rsidR="00720408">
              <w:rPr>
                <w:webHidden/>
              </w:rPr>
              <w:instrText xml:space="preserve"> PAGEREF _Toc528251547 \h </w:instrText>
            </w:r>
            <w:r w:rsidR="00720408">
              <w:rPr>
                <w:webHidden/>
              </w:rPr>
            </w:r>
            <w:r w:rsidR="00720408">
              <w:rPr>
                <w:webHidden/>
              </w:rPr>
              <w:fldChar w:fldCharType="separate"/>
            </w:r>
            <w:r w:rsidR="00720408">
              <w:rPr>
                <w:webHidden/>
              </w:rPr>
              <w:t>3</w:t>
            </w:r>
            <w:r w:rsidR="00720408">
              <w:rPr>
                <w:webHidden/>
              </w:rPr>
              <w:fldChar w:fldCharType="end"/>
            </w:r>
          </w:hyperlink>
        </w:p>
        <w:p w14:paraId="566E742E" w14:textId="6398B827" w:rsidR="00720408" w:rsidRDefault="00AC1C05">
          <w:pPr>
            <w:pStyle w:val="11"/>
            <w:rPr>
              <w:rFonts w:asciiTheme="minorHAnsi" w:eastAsiaTheme="minorEastAsia" w:hAnsiTheme="minorHAnsi" w:cstheme="minorBidi"/>
              <w:kern w:val="0"/>
              <w:sz w:val="22"/>
              <w:szCs w:val="22"/>
            </w:rPr>
          </w:pPr>
          <w:hyperlink w:anchor="_Toc528251548" w:history="1">
            <w:r w:rsidR="00720408" w:rsidRPr="00DA50BC">
              <w:rPr>
                <w:rStyle w:val="af1"/>
              </w:rPr>
              <w:t>Аннотация</w:t>
            </w:r>
            <w:r w:rsidR="00720408">
              <w:rPr>
                <w:webHidden/>
              </w:rPr>
              <w:tab/>
            </w:r>
            <w:r w:rsidR="00720408">
              <w:rPr>
                <w:webHidden/>
              </w:rPr>
              <w:fldChar w:fldCharType="begin"/>
            </w:r>
            <w:r w:rsidR="00720408">
              <w:rPr>
                <w:webHidden/>
              </w:rPr>
              <w:instrText xml:space="preserve"> PAGEREF _Toc528251548 \h </w:instrText>
            </w:r>
            <w:r w:rsidR="00720408">
              <w:rPr>
                <w:webHidden/>
              </w:rPr>
            </w:r>
            <w:r w:rsidR="00720408">
              <w:rPr>
                <w:webHidden/>
              </w:rPr>
              <w:fldChar w:fldCharType="separate"/>
            </w:r>
            <w:r w:rsidR="00720408">
              <w:rPr>
                <w:webHidden/>
              </w:rPr>
              <w:t>4</w:t>
            </w:r>
            <w:r w:rsidR="00720408">
              <w:rPr>
                <w:webHidden/>
              </w:rPr>
              <w:fldChar w:fldCharType="end"/>
            </w:r>
          </w:hyperlink>
        </w:p>
        <w:p w14:paraId="666BEE9D" w14:textId="7CD1F63D" w:rsidR="00720408" w:rsidRDefault="00AC1C05">
          <w:pPr>
            <w:pStyle w:val="11"/>
            <w:rPr>
              <w:rFonts w:asciiTheme="minorHAnsi" w:eastAsiaTheme="minorEastAsia" w:hAnsiTheme="minorHAnsi" w:cstheme="minorBidi"/>
              <w:kern w:val="0"/>
              <w:sz w:val="22"/>
              <w:szCs w:val="22"/>
            </w:rPr>
          </w:pPr>
          <w:hyperlink w:anchor="_Toc528251549" w:history="1">
            <w:r w:rsidR="00720408" w:rsidRPr="00DA50BC">
              <w:rPr>
                <w:rStyle w:val="af1"/>
              </w:rPr>
              <w:t>Методология</w:t>
            </w:r>
            <w:r w:rsidR="00720408">
              <w:rPr>
                <w:webHidden/>
              </w:rPr>
              <w:tab/>
            </w:r>
            <w:r w:rsidR="00720408">
              <w:rPr>
                <w:webHidden/>
              </w:rPr>
              <w:fldChar w:fldCharType="begin"/>
            </w:r>
            <w:r w:rsidR="00720408">
              <w:rPr>
                <w:webHidden/>
              </w:rPr>
              <w:instrText xml:space="preserve"> PAGEREF _Toc528251549 \h </w:instrText>
            </w:r>
            <w:r w:rsidR="00720408">
              <w:rPr>
                <w:webHidden/>
              </w:rPr>
            </w:r>
            <w:r w:rsidR="00720408">
              <w:rPr>
                <w:webHidden/>
              </w:rPr>
              <w:fldChar w:fldCharType="separate"/>
            </w:r>
            <w:r w:rsidR="00720408">
              <w:rPr>
                <w:webHidden/>
              </w:rPr>
              <w:t>5</w:t>
            </w:r>
            <w:r w:rsidR="00720408">
              <w:rPr>
                <w:webHidden/>
              </w:rPr>
              <w:fldChar w:fldCharType="end"/>
            </w:r>
          </w:hyperlink>
        </w:p>
        <w:p w14:paraId="55ADD812" w14:textId="60267358" w:rsidR="00720408" w:rsidRDefault="00AC1C05">
          <w:pPr>
            <w:pStyle w:val="11"/>
            <w:rPr>
              <w:rFonts w:asciiTheme="minorHAnsi" w:eastAsiaTheme="minorEastAsia" w:hAnsiTheme="minorHAnsi" w:cstheme="minorBidi"/>
              <w:kern w:val="0"/>
              <w:sz w:val="22"/>
              <w:szCs w:val="22"/>
            </w:rPr>
          </w:pPr>
          <w:hyperlink w:anchor="_Toc528251550" w:history="1">
            <w:r w:rsidR="00720408" w:rsidRPr="00DA50BC">
              <w:rPr>
                <w:rStyle w:val="af1"/>
              </w:rPr>
              <w:t>Результаты исследования</w:t>
            </w:r>
            <w:r w:rsidR="00720408">
              <w:rPr>
                <w:webHidden/>
              </w:rPr>
              <w:tab/>
            </w:r>
            <w:r w:rsidR="00720408">
              <w:rPr>
                <w:webHidden/>
              </w:rPr>
              <w:fldChar w:fldCharType="begin"/>
            </w:r>
            <w:r w:rsidR="00720408">
              <w:rPr>
                <w:webHidden/>
              </w:rPr>
              <w:instrText xml:space="preserve"> PAGEREF _Toc528251550 \h </w:instrText>
            </w:r>
            <w:r w:rsidR="00720408">
              <w:rPr>
                <w:webHidden/>
              </w:rPr>
            </w:r>
            <w:r w:rsidR="00720408">
              <w:rPr>
                <w:webHidden/>
              </w:rPr>
              <w:fldChar w:fldCharType="separate"/>
            </w:r>
            <w:r w:rsidR="00720408">
              <w:rPr>
                <w:webHidden/>
              </w:rPr>
              <w:t>7</w:t>
            </w:r>
            <w:r w:rsidR="00720408">
              <w:rPr>
                <w:webHidden/>
              </w:rPr>
              <w:fldChar w:fldCharType="end"/>
            </w:r>
          </w:hyperlink>
        </w:p>
        <w:p w14:paraId="09471EFB" w14:textId="373AC37A" w:rsidR="00720408" w:rsidRDefault="00AC1C05">
          <w:pPr>
            <w:pStyle w:val="11"/>
            <w:rPr>
              <w:rFonts w:asciiTheme="minorHAnsi" w:eastAsiaTheme="minorEastAsia" w:hAnsiTheme="minorHAnsi" w:cstheme="minorBidi"/>
              <w:kern w:val="0"/>
              <w:sz w:val="22"/>
              <w:szCs w:val="22"/>
            </w:rPr>
          </w:pPr>
          <w:hyperlink w:anchor="_Toc528251551" w:history="1">
            <w:r w:rsidR="00720408" w:rsidRPr="00DA50BC">
              <w:rPr>
                <w:rStyle w:val="af1"/>
              </w:rPr>
              <w:t>Заключение и выводы</w:t>
            </w:r>
            <w:r w:rsidR="00720408">
              <w:rPr>
                <w:webHidden/>
              </w:rPr>
              <w:tab/>
            </w:r>
            <w:r w:rsidR="00720408">
              <w:rPr>
                <w:webHidden/>
              </w:rPr>
              <w:fldChar w:fldCharType="begin"/>
            </w:r>
            <w:r w:rsidR="00720408">
              <w:rPr>
                <w:webHidden/>
              </w:rPr>
              <w:instrText xml:space="preserve"> PAGEREF _Toc528251551 \h </w:instrText>
            </w:r>
            <w:r w:rsidR="00720408">
              <w:rPr>
                <w:webHidden/>
              </w:rPr>
            </w:r>
            <w:r w:rsidR="00720408">
              <w:rPr>
                <w:webHidden/>
              </w:rPr>
              <w:fldChar w:fldCharType="separate"/>
            </w:r>
            <w:r w:rsidR="00720408">
              <w:rPr>
                <w:webHidden/>
              </w:rPr>
              <w:t>19</w:t>
            </w:r>
            <w:r w:rsidR="00720408">
              <w:rPr>
                <w:webHidden/>
              </w:rPr>
              <w:fldChar w:fldCharType="end"/>
            </w:r>
          </w:hyperlink>
        </w:p>
        <w:p w14:paraId="087C4101" w14:textId="2A032FF2" w:rsidR="00720408" w:rsidRDefault="00AC1C05">
          <w:pPr>
            <w:pStyle w:val="11"/>
            <w:rPr>
              <w:rFonts w:asciiTheme="minorHAnsi" w:eastAsiaTheme="minorEastAsia" w:hAnsiTheme="minorHAnsi" w:cstheme="minorBidi"/>
              <w:kern w:val="0"/>
              <w:sz w:val="22"/>
              <w:szCs w:val="22"/>
            </w:rPr>
          </w:pPr>
          <w:hyperlink w:anchor="_Toc528251552" w:history="1">
            <w:r w:rsidR="00720408" w:rsidRPr="00DA50BC">
              <w:rPr>
                <w:rStyle w:val="af1"/>
              </w:rPr>
              <w:t>Мониторинг утечек на сайте InfoWatch</w:t>
            </w:r>
            <w:r w:rsidR="00720408">
              <w:rPr>
                <w:webHidden/>
              </w:rPr>
              <w:tab/>
            </w:r>
            <w:r w:rsidR="00720408">
              <w:rPr>
                <w:webHidden/>
              </w:rPr>
              <w:fldChar w:fldCharType="begin"/>
            </w:r>
            <w:r w:rsidR="00720408">
              <w:rPr>
                <w:webHidden/>
              </w:rPr>
              <w:instrText xml:space="preserve"> PAGEREF _Toc528251552 \h </w:instrText>
            </w:r>
            <w:r w:rsidR="00720408">
              <w:rPr>
                <w:webHidden/>
              </w:rPr>
            </w:r>
            <w:r w:rsidR="00720408">
              <w:rPr>
                <w:webHidden/>
              </w:rPr>
              <w:fldChar w:fldCharType="separate"/>
            </w:r>
            <w:r w:rsidR="00720408">
              <w:rPr>
                <w:webHidden/>
              </w:rPr>
              <w:t>20</w:t>
            </w:r>
            <w:r w:rsidR="00720408">
              <w:rPr>
                <w:webHidden/>
              </w:rPr>
              <w:fldChar w:fldCharType="end"/>
            </w:r>
          </w:hyperlink>
        </w:p>
        <w:p w14:paraId="21D67139" w14:textId="55D95DCF" w:rsidR="00720408" w:rsidRDefault="00AC1C05">
          <w:pPr>
            <w:pStyle w:val="11"/>
            <w:rPr>
              <w:rFonts w:asciiTheme="minorHAnsi" w:eastAsiaTheme="minorEastAsia" w:hAnsiTheme="minorHAnsi" w:cstheme="minorBidi"/>
              <w:kern w:val="0"/>
              <w:sz w:val="22"/>
              <w:szCs w:val="22"/>
            </w:rPr>
          </w:pPr>
          <w:hyperlink w:anchor="_Toc528251553" w:history="1">
            <w:r w:rsidR="00720408" w:rsidRPr="00DA50BC">
              <w:rPr>
                <w:rStyle w:val="af1"/>
              </w:rPr>
              <w:t>Глоссарий</w:t>
            </w:r>
            <w:r w:rsidR="00720408">
              <w:rPr>
                <w:webHidden/>
              </w:rPr>
              <w:tab/>
            </w:r>
            <w:r w:rsidR="00720408">
              <w:rPr>
                <w:webHidden/>
              </w:rPr>
              <w:fldChar w:fldCharType="begin"/>
            </w:r>
            <w:r w:rsidR="00720408">
              <w:rPr>
                <w:webHidden/>
              </w:rPr>
              <w:instrText xml:space="preserve"> PAGEREF _Toc528251553 \h </w:instrText>
            </w:r>
            <w:r w:rsidR="00720408">
              <w:rPr>
                <w:webHidden/>
              </w:rPr>
            </w:r>
            <w:r w:rsidR="00720408">
              <w:rPr>
                <w:webHidden/>
              </w:rPr>
              <w:fldChar w:fldCharType="separate"/>
            </w:r>
            <w:r w:rsidR="00720408">
              <w:rPr>
                <w:webHidden/>
              </w:rPr>
              <w:t>21</w:t>
            </w:r>
            <w:r w:rsidR="00720408">
              <w:rPr>
                <w:webHidden/>
              </w:rPr>
              <w:fldChar w:fldCharType="end"/>
            </w:r>
          </w:hyperlink>
        </w:p>
        <w:p w14:paraId="65FB614D" w14:textId="6D874CFF" w:rsidR="00F74161" w:rsidRDefault="00720408">
          <w:r>
            <w:rPr>
              <w:b/>
              <w:noProof/>
            </w:rPr>
            <w:fldChar w:fldCharType="end"/>
          </w:r>
        </w:p>
      </w:sdtContent>
    </w:sdt>
    <w:p w14:paraId="6C726764" w14:textId="7BF55971" w:rsidR="005F49FC" w:rsidRDefault="005F49FC">
      <w:pPr>
        <w:suppressAutoHyphens w:val="0"/>
        <w:spacing w:before="0" w:after="0"/>
      </w:pPr>
      <w:bookmarkStart w:id="1" w:name="_Toc422401819"/>
      <w:bookmarkStart w:id="2" w:name="_Toc397015193"/>
      <w:bookmarkStart w:id="3" w:name="_Toc422401821"/>
      <w:r>
        <w:br w:type="page"/>
      </w:r>
    </w:p>
    <w:p w14:paraId="00362706" w14:textId="77777777" w:rsidR="00F404B0" w:rsidRDefault="00F404B0" w:rsidP="00F404B0">
      <w:pPr>
        <w:pStyle w:val="1"/>
      </w:pPr>
      <w:bookmarkStart w:id="4" w:name="_Toc528251547"/>
      <w:r>
        <w:lastRenderedPageBreak/>
        <w:t>Только цифры</w:t>
      </w:r>
      <w:bookmarkEnd w:id="1"/>
      <w:bookmarkEnd w:id="4"/>
    </w:p>
    <w:p w14:paraId="50E99DC2" w14:textId="239991AA" w:rsidR="00D5798B" w:rsidRDefault="00D5798B" w:rsidP="00D5798B">
      <w:pPr>
        <w:pStyle w:val="a1"/>
        <w:numPr>
          <w:ilvl w:val="0"/>
          <w:numId w:val="2"/>
        </w:numPr>
        <w:spacing w:before="0"/>
      </w:pPr>
      <w:r w:rsidRPr="008E4140">
        <w:t xml:space="preserve">В 2017 году Аналитический центр InfoWatch зафиксировал </w:t>
      </w:r>
      <w:r w:rsidRPr="008E4140">
        <w:rPr>
          <w:b/>
          <w:color w:val="007D32"/>
        </w:rPr>
        <w:t>1228</w:t>
      </w:r>
      <w:r w:rsidRPr="008E4140">
        <w:t xml:space="preserve"> утечек, случившихся</w:t>
      </w:r>
      <w:r w:rsidR="00604735">
        <w:t xml:space="preserve"> в мире</w:t>
      </w:r>
      <w:r w:rsidRPr="008E4140">
        <w:t xml:space="preserve"> по вине или </w:t>
      </w:r>
      <w:bookmarkStart w:id="5" w:name="_GoBack"/>
      <w:bookmarkEnd w:id="5"/>
      <w:r w:rsidRPr="008E4140">
        <w:t>неосторожности внутренних нарушителей</w:t>
      </w:r>
      <w:r w:rsidR="006B6FDF">
        <w:t> </w:t>
      </w:r>
      <w:r w:rsidRPr="008E4140">
        <w:t>— сотрудников организаций, топ-менеджеров и иных привилегированных пользователей, подрядчиков</w:t>
      </w:r>
      <w:r>
        <w:t>.</w:t>
      </w:r>
    </w:p>
    <w:p w14:paraId="2D55F445" w14:textId="7C5F4F65" w:rsidR="00D5798B" w:rsidRDefault="00D5798B" w:rsidP="00D5798B">
      <w:pPr>
        <w:pStyle w:val="a1"/>
        <w:numPr>
          <w:ilvl w:val="0"/>
          <w:numId w:val="2"/>
        </w:numPr>
        <w:spacing w:before="0"/>
      </w:pPr>
      <w:r>
        <w:t>На утечки</w:t>
      </w:r>
      <w:r w:rsidR="00ED3590" w:rsidRPr="00ED3590">
        <w:t xml:space="preserve">, </w:t>
      </w:r>
      <w:r w:rsidR="00ED3590">
        <w:t>случившиеся в результате умышленных или непредумышленных действий внутренних нарушителей</w:t>
      </w:r>
      <w:r w:rsidR="00ED3590" w:rsidRPr="00ED3590">
        <w:t>,</w:t>
      </w:r>
      <w:r>
        <w:t xml:space="preserve"> приходится 58% от общего числа утечек. В результате </w:t>
      </w:r>
      <w:r w:rsidR="00ED3590">
        <w:t xml:space="preserve">таких инцидентов </w:t>
      </w:r>
      <w:r>
        <w:t xml:space="preserve">скомпрометировано </w:t>
      </w:r>
      <w:r w:rsidRPr="0099341F">
        <w:rPr>
          <w:b/>
          <w:color w:val="007D32"/>
        </w:rPr>
        <w:t xml:space="preserve">4,7 </w:t>
      </w:r>
      <w:proofErr w:type="gramStart"/>
      <w:r w:rsidRPr="0099341F">
        <w:rPr>
          <w:b/>
          <w:color w:val="007D32"/>
        </w:rPr>
        <w:t>млрд</w:t>
      </w:r>
      <w:proofErr w:type="gramEnd"/>
      <w:r>
        <w:t xml:space="preserve"> записей, относящихся к типу персональных данных и финансовой информации. </w:t>
      </w:r>
    </w:p>
    <w:p w14:paraId="5588B7E8" w14:textId="2E623E82" w:rsidR="00D5798B" w:rsidRDefault="00D5798B" w:rsidP="00D5798B">
      <w:pPr>
        <w:pStyle w:val="a1"/>
        <w:numPr>
          <w:ilvl w:val="0"/>
          <w:numId w:val="2"/>
        </w:numPr>
        <w:spacing w:before="0"/>
      </w:pPr>
      <w:r>
        <w:t>О</w:t>
      </w:r>
      <w:r w:rsidRPr="0099341F">
        <w:t xml:space="preserve">бъем данных, скомпрометированных по вине внутреннего нарушителя, показал </w:t>
      </w:r>
      <w:r w:rsidRPr="00593611">
        <w:rPr>
          <w:b/>
          <w:color w:val="007D32"/>
        </w:rPr>
        <w:t>10-кратный рост</w:t>
      </w:r>
      <w:r>
        <w:t xml:space="preserve"> к показателям 2016 года. На одну утечку в среднем приходится </w:t>
      </w:r>
      <w:r w:rsidRPr="002175A8">
        <w:t xml:space="preserve">3,8 </w:t>
      </w:r>
      <w:proofErr w:type="gramStart"/>
      <w:r w:rsidRPr="002175A8">
        <w:t>млн</w:t>
      </w:r>
      <w:proofErr w:type="gramEnd"/>
      <w:r w:rsidRPr="002175A8">
        <w:t xml:space="preserve"> </w:t>
      </w:r>
      <w:r>
        <w:t xml:space="preserve">скомпрометированных </w:t>
      </w:r>
      <w:r w:rsidRPr="002175A8">
        <w:t>записей</w:t>
      </w:r>
      <w:r>
        <w:t>.</w:t>
      </w:r>
    </w:p>
    <w:p w14:paraId="79042C00" w14:textId="47DF2AEC" w:rsidR="00D5798B" w:rsidRDefault="00D5798B" w:rsidP="00D5798B">
      <w:pPr>
        <w:pStyle w:val="a1"/>
        <w:numPr>
          <w:ilvl w:val="0"/>
          <w:numId w:val="2"/>
        </w:numPr>
        <w:spacing w:before="0"/>
      </w:pPr>
      <w:r w:rsidRPr="00593611">
        <w:rPr>
          <w:b/>
          <w:color w:val="007D32"/>
        </w:rPr>
        <w:t>95%</w:t>
      </w:r>
      <w:r>
        <w:t xml:space="preserve"> от совокупного объема персональных данных и финансовой информации были скомпрометированы в результате </w:t>
      </w:r>
      <w:r w:rsidRPr="00593611">
        <w:t>небрежности либо грубой неосторожности</w:t>
      </w:r>
      <w:r>
        <w:t xml:space="preserve"> лиц, имеющих легитимный доступ </w:t>
      </w:r>
      <w:r w:rsidR="00C204CE">
        <w:t xml:space="preserve">к </w:t>
      </w:r>
      <w:r>
        <w:t>указанным данным.</w:t>
      </w:r>
    </w:p>
    <w:p w14:paraId="3018EB58" w14:textId="64B3B586" w:rsidR="00D5798B" w:rsidRDefault="00D5798B" w:rsidP="00D5798B">
      <w:pPr>
        <w:pStyle w:val="a1"/>
        <w:numPr>
          <w:ilvl w:val="0"/>
          <w:numId w:val="2"/>
        </w:numPr>
        <w:spacing w:before="0"/>
      </w:pPr>
      <w:r w:rsidRPr="00EC0202">
        <w:t xml:space="preserve">На долю </w:t>
      </w:r>
      <w:r w:rsidR="00697B0B">
        <w:t>непривилегированных</w:t>
      </w:r>
      <w:r>
        <w:t xml:space="preserve"> сотрудников приходится</w:t>
      </w:r>
      <w:r w:rsidRPr="00EC0202">
        <w:t xml:space="preserve"> </w:t>
      </w:r>
      <w:r w:rsidRPr="00EC0202">
        <w:rPr>
          <w:b/>
          <w:color w:val="007D32"/>
        </w:rPr>
        <w:t>75-85%</w:t>
      </w:r>
      <w:r w:rsidRPr="00EC0202">
        <w:t xml:space="preserve"> всех внутренних утечек</w:t>
      </w:r>
      <w:r>
        <w:t xml:space="preserve"> из организаций.</w:t>
      </w:r>
    </w:p>
    <w:p w14:paraId="470965CF" w14:textId="77777777" w:rsidR="00D5798B" w:rsidRDefault="00D5798B" w:rsidP="00D5798B">
      <w:pPr>
        <w:pStyle w:val="a1"/>
        <w:numPr>
          <w:ilvl w:val="0"/>
          <w:numId w:val="2"/>
        </w:numPr>
        <w:spacing w:before="0"/>
      </w:pPr>
      <w:r w:rsidRPr="00C33EB6">
        <w:t>Доля «квалифицированных» утечек в целом не превыша</w:t>
      </w:r>
      <w:r>
        <w:t>ет</w:t>
      </w:r>
      <w:r w:rsidRPr="00C33EB6">
        <w:t xml:space="preserve"> </w:t>
      </w:r>
      <w:r w:rsidRPr="00C33EB6">
        <w:rPr>
          <w:b/>
          <w:color w:val="007D32"/>
        </w:rPr>
        <w:t>25%</w:t>
      </w:r>
      <w:r w:rsidRPr="00C33EB6">
        <w:t xml:space="preserve"> в период 2013-2017 года и демонстрирует тенденцию к снижению</w:t>
      </w:r>
      <w:r>
        <w:t>.</w:t>
      </w:r>
    </w:p>
    <w:p w14:paraId="77FB6855" w14:textId="399E2259" w:rsidR="00625AA4" w:rsidRDefault="00625AA4" w:rsidP="00625AA4">
      <w:pPr>
        <w:suppressAutoHyphens w:val="0"/>
        <w:spacing w:before="0" w:after="0"/>
      </w:pPr>
      <w:r>
        <w:br w:type="page"/>
      </w:r>
    </w:p>
    <w:p w14:paraId="543F7DC9" w14:textId="185EF3E9" w:rsidR="00040589" w:rsidRDefault="00040589" w:rsidP="00040589">
      <w:pPr>
        <w:pStyle w:val="1"/>
      </w:pPr>
      <w:bookmarkStart w:id="6" w:name="_Toc528251548"/>
      <w:r w:rsidRPr="00040589">
        <w:lastRenderedPageBreak/>
        <w:t>Аннотация</w:t>
      </w:r>
      <w:bookmarkEnd w:id="6"/>
    </w:p>
    <w:p w14:paraId="6D4468C8" w14:textId="2753010A" w:rsidR="00DE092B" w:rsidRDefault="00B14811" w:rsidP="00B14811">
      <w:pPr>
        <w:pStyle w:val="a1"/>
      </w:pPr>
      <w:r>
        <w:t>До недавнего времени</w:t>
      </w:r>
      <w:r w:rsidR="008D25B1">
        <w:t xml:space="preserve"> наблюдал</w:t>
      </w:r>
      <w:r>
        <w:t>ся</w:t>
      </w:r>
      <w:r w:rsidR="008D25B1">
        <w:t xml:space="preserve"> лавинообразный рост </w:t>
      </w:r>
      <w:r w:rsidR="00081FB0">
        <w:t>случаев компрометации информации</w:t>
      </w:r>
      <w:r w:rsidR="008D25B1">
        <w:t xml:space="preserve">, спровоцированных внешним воздействием. </w:t>
      </w:r>
      <w:r w:rsidR="00FE6342">
        <w:t>Конечно, хакеры и раньше взламывали системы защиты, проникали в коммуникационные сети</w:t>
      </w:r>
      <w:r w:rsidR="0084499E">
        <w:t xml:space="preserve">, но никогда </w:t>
      </w:r>
      <w:r w:rsidR="001A7761">
        <w:t xml:space="preserve">прежде </w:t>
      </w:r>
      <w:r w:rsidR="00032047">
        <w:t xml:space="preserve">внешние </w:t>
      </w:r>
      <w:r w:rsidR="0084499E">
        <w:t xml:space="preserve">утечки не </w:t>
      </w:r>
      <w:r w:rsidR="00CB53F9">
        <w:t>имели столь разрушительных последствий</w:t>
      </w:r>
      <w:r w:rsidR="0084499E">
        <w:t xml:space="preserve">. </w:t>
      </w:r>
    </w:p>
    <w:p w14:paraId="67EE795B" w14:textId="65EB97AA" w:rsidR="00327F2B" w:rsidRDefault="00DE092B" w:rsidP="00327F2B">
      <w:pPr>
        <w:pStyle w:val="a1"/>
      </w:pPr>
      <w:r>
        <w:t>В</w:t>
      </w:r>
      <w:r w:rsidR="00236FB5">
        <w:t xml:space="preserve"> 2017 году </w:t>
      </w:r>
      <w:r w:rsidR="00DC503A">
        <w:t xml:space="preserve">по вине внешнего злоумышленника </w:t>
      </w:r>
      <w:hyperlink r:id="rId9" w:history="1">
        <w:r w:rsidR="00DC503A" w:rsidRPr="00AE4893">
          <w:rPr>
            <w:rStyle w:val="af1"/>
          </w:rPr>
          <w:t>было скомпрометировано</w:t>
        </w:r>
      </w:hyperlink>
      <w:r w:rsidR="00DC503A">
        <w:t xml:space="preserve"> 6,6 </w:t>
      </w:r>
      <w:proofErr w:type="gramStart"/>
      <w:r w:rsidR="00DC503A">
        <w:t>млрд</w:t>
      </w:r>
      <w:proofErr w:type="gramEnd"/>
      <w:r w:rsidR="00DC503A">
        <w:t xml:space="preserve"> записей</w:t>
      </w:r>
      <w:r w:rsidR="00AE4893">
        <w:t xml:space="preserve">. </w:t>
      </w:r>
      <w:r w:rsidR="00327F2B">
        <w:t xml:space="preserve">Тема внешних атак и утечек информации ограниченного доступа вошла в повестку </w:t>
      </w:r>
      <w:r w:rsidR="00922FBD">
        <w:t xml:space="preserve">президентской избирательной кампании в США </w:t>
      </w:r>
      <w:r w:rsidR="00327F2B">
        <w:t xml:space="preserve">и во многом предопределила </w:t>
      </w:r>
      <w:r w:rsidR="00922FBD">
        <w:t xml:space="preserve">ее </w:t>
      </w:r>
      <w:r w:rsidR="00904A70">
        <w:t>результаты —</w:t>
      </w:r>
      <w:r w:rsidR="00327F2B">
        <w:t xml:space="preserve"> уровень, немыслимый еще </w:t>
      </w:r>
      <w:r w:rsidR="00BA0310">
        <w:t>несколько лет</w:t>
      </w:r>
      <w:r w:rsidR="00327F2B">
        <w:t xml:space="preserve"> назад. </w:t>
      </w:r>
    </w:p>
    <w:p w14:paraId="1448EAF2" w14:textId="62DADC5E" w:rsidR="000406EC" w:rsidRDefault="008C311B" w:rsidP="00327F2B">
      <w:pPr>
        <w:pStyle w:val="a1"/>
      </w:pPr>
      <w:r>
        <w:t>У</w:t>
      </w:r>
      <w:r w:rsidR="00045509">
        <w:t>теч</w:t>
      </w:r>
      <w:r w:rsidR="00CB53F9">
        <w:t>ки</w:t>
      </w:r>
      <w:r>
        <w:t xml:space="preserve"> внутреннего характера</w:t>
      </w:r>
      <w:r w:rsidR="000406EC">
        <w:rPr>
          <w:rStyle w:val="a5"/>
        </w:rPr>
        <w:footnoteReference w:id="2"/>
      </w:r>
      <w:r w:rsidR="00CB53F9">
        <w:t>, т.е.</w:t>
      </w:r>
      <w:r w:rsidR="00184B18">
        <w:t xml:space="preserve"> случаи компрометации информации ограниченного доступа</w:t>
      </w:r>
      <w:r w:rsidR="00184B18" w:rsidRPr="00184B18">
        <w:t xml:space="preserve"> в результате умышленных или неосторожных действий сотрудников и </w:t>
      </w:r>
      <w:proofErr w:type="gramStart"/>
      <w:r w:rsidR="00184B18" w:rsidRPr="00184B18">
        <w:t>подрядчиков</w:t>
      </w:r>
      <w:proofErr w:type="gramEnd"/>
      <w:r w:rsidR="00184B18" w:rsidRPr="00184B18">
        <w:t xml:space="preserve"> коммерческих и некоммерческих организаций, органов государственной и муниципальной власти</w:t>
      </w:r>
      <w:r w:rsidR="00184B18">
        <w:t>, отошли</w:t>
      </w:r>
      <w:r w:rsidR="00C2356E">
        <w:t xml:space="preserve"> на второй план</w:t>
      </w:r>
      <w:r w:rsidR="00B97266">
        <w:t xml:space="preserve">, в том числе </w:t>
      </w:r>
      <w:r w:rsidR="00D319F0">
        <w:t xml:space="preserve">для практикующих специалистов в области информационной безопасности. </w:t>
      </w:r>
    </w:p>
    <w:p w14:paraId="705C799F" w14:textId="45312B59" w:rsidR="00045509" w:rsidRDefault="00AF3F42" w:rsidP="00327F2B">
      <w:pPr>
        <w:pStyle w:val="a1"/>
      </w:pPr>
      <w:r>
        <w:t xml:space="preserve">Поддавшись влиянию «магии цифр», </w:t>
      </w:r>
      <w:r w:rsidR="00334A36">
        <w:t>многие «</w:t>
      </w:r>
      <w:proofErr w:type="spellStart"/>
      <w:r w:rsidR="00334A36">
        <w:t>безопасники</w:t>
      </w:r>
      <w:proofErr w:type="spellEnd"/>
      <w:r w:rsidR="00334A36">
        <w:t xml:space="preserve">» </w:t>
      </w:r>
      <w:r w:rsidR="003F3267">
        <w:t xml:space="preserve">вспомнили </w:t>
      </w:r>
      <w:r w:rsidR="003B4EAF">
        <w:t>о концепции защиты периметра от внешних угроз</w:t>
      </w:r>
      <w:r w:rsidR="00B92792">
        <w:t xml:space="preserve"> и бросились бороться с хакерами</w:t>
      </w:r>
      <w:r w:rsidR="00F9533B">
        <w:t>,</w:t>
      </w:r>
      <w:r w:rsidR="00B92792">
        <w:t xml:space="preserve"> </w:t>
      </w:r>
      <w:r w:rsidR="00F9533B">
        <w:t>з</w:t>
      </w:r>
      <w:r w:rsidR="00E37A69">
        <w:t>абыв при этом, что сотрудник</w:t>
      </w:r>
      <w:r w:rsidR="000869D8">
        <w:t>, даже если он обучен и дисциплинирован, совершает ошибки. И эти ошибки могут привести к последствиям</w:t>
      </w:r>
      <w:r w:rsidR="008C311B">
        <w:t xml:space="preserve"> не менее серьезным</w:t>
      </w:r>
      <w:r w:rsidR="000869D8">
        <w:t xml:space="preserve">, чем атака </w:t>
      </w:r>
      <w:proofErr w:type="gramStart"/>
      <w:r w:rsidR="000869D8">
        <w:t>самых</w:t>
      </w:r>
      <w:proofErr w:type="gramEnd"/>
      <w:r w:rsidR="000869D8">
        <w:t xml:space="preserve"> изощренных </w:t>
      </w:r>
      <w:proofErr w:type="spellStart"/>
      <w:r w:rsidR="007B4728">
        <w:t>киберпреступников</w:t>
      </w:r>
      <w:proofErr w:type="spellEnd"/>
      <w:r w:rsidR="000869D8">
        <w:t>.</w:t>
      </w:r>
    </w:p>
    <w:p w14:paraId="4EB09D0A" w14:textId="68AB6FAB" w:rsidR="00FE6342" w:rsidRDefault="00F2577F" w:rsidP="009F16E6">
      <w:pPr>
        <w:pStyle w:val="a1"/>
      </w:pPr>
      <w:r>
        <w:t>В последние несколько лет н</w:t>
      </w:r>
      <w:r w:rsidR="007B4D23">
        <w:t>а фоне</w:t>
      </w:r>
      <w:r w:rsidR="00535C0E">
        <w:t xml:space="preserve"> м</w:t>
      </w:r>
      <w:r w:rsidR="00D70D45">
        <w:t>ассов</w:t>
      </w:r>
      <w:r w:rsidR="00535C0E">
        <w:t>ой</w:t>
      </w:r>
      <w:r w:rsidR="00D70D45">
        <w:t xml:space="preserve"> компрометаци</w:t>
      </w:r>
      <w:r w:rsidR="00535C0E">
        <w:t>и</w:t>
      </w:r>
      <w:r w:rsidR="00D70D45">
        <w:t xml:space="preserve"> данных пользователей сформировал</w:t>
      </w:r>
      <w:r w:rsidR="007B4D23">
        <w:t>ся</w:t>
      </w:r>
      <w:r w:rsidR="00D70D45">
        <w:t xml:space="preserve"> нелегальный рынок</w:t>
      </w:r>
      <w:r w:rsidR="00A957BB">
        <w:t xml:space="preserve">, где можно купить и продать большие объемы </w:t>
      </w:r>
      <w:r>
        <w:t>информации</w:t>
      </w:r>
      <w:r w:rsidR="00A957BB">
        <w:t xml:space="preserve">. </w:t>
      </w:r>
      <w:r w:rsidR="009052AA">
        <w:t>У</w:t>
      </w:r>
      <w:r w:rsidR="00196EED">
        <w:t xml:space="preserve"> людей, имеющих доступ к </w:t>
      </w:r>
      <w:r w:rsidR="00E82539">
        <w:t xml:space="preserve">чужим персональным данным, появилась реальная возможность заработать на этом деньги. </w:t>
      </w:r>
      <w:r w:rsidR="002535F5">
        <w:t xml:space="preserve">В этот «бизнес» бросились </w:t>
      </w:r>
      <w:proofErr w:type="gramStart"/>
      <w:r w:rsidR="002535F5">
        <w:t>фитнес-тренеры</w:t>
      </w:r>
      <w:proofErr w:type="gramEnd"/>
      <w:r w:rsidR="002535F5">
        <w:t xml:space="preserve">, медсестры, преподаватели школ и вузов, </w:t>
      </w:r>
      <w:r w:rsidR="00E51E6D">
        <w:t xml:space="preserve">сотрудники полиции, </w:t>
      </w:r>
      <w:r w:rsidR="002535F5">
        <w:t xml:space="preserve">все, </w:t>
      </w:r>
      <w:r w:rsidR="000271E3">
        <w:t>чья работа предполагает использование сведений о гражданах, иных ликвидных типов данных</w:t>
      </w:r>
      <w:r w:rsidR="002669A8">
        <w:t>.</w:t>
      </w:r>
      <w:r w:rsidR="002535F5">
        <w:t xml:space="preserve"> </w:t>
      </w:r>
      <w:r w:rsidR="0018023F">
        <w:t xml:space="preserve">Массовые утечки информации по вине внутреннего нарушителя породили волну исков к </w:t>
      </w:r>
      <w:r w:rsidR="001573AF">
        <w:t xml:space="preserve">организациям, чьи сотрудники </w:t>
      </w:r>
      <w:r w:rsidR="001735A2">
        <w:t xml:space="preserve">или подрядчики допустили нарушение. </w:t>
      </w:r>
      <w:r w:rsidR="00FD61F6">
        <w:t>Как следствие, значение</w:t>
      </w:r>
      <w:r w:rsidR="00A547BD">
        <w:t xml:space="preserve"> внутренних утечек</w:t>
      </w:r>
      <w:r w:rsidR="00CD41C6">
        <w:t xml:space="preserve"> вновь возросло.</w:t>
      </w:r>
    </w:p>
    <w:p w14:paraId="40403FA5" w14:textId="652651F3" w:rsidR="00452AB6" w:rsidRDefault="006A3615" w:rsidP="00FD1F85">
      <w:pPr>
        <w:pStyle w:val="a1"/>
      </w:pPr>
      <w:r>
        <w:t xml:space="preserve">Аналитический центр группы компаний InfoWatch представляет второе сравнительное исследование </w:t>
      </w:r>
      <w:r w:rsidR="006A15E8">
        <w:t>внутренних утечек</w:t>
      </w:r>
      <w:r>
        <w:t>, произошедших в период с 2013 по 2017 год</w:t>
      </w:r>
      <w:r w:rsidR="006A15E8">
        <w:t xml:space="preserve">. </w:t>
      </w:r>
      <w:r w:rsidR="00FE6342">
        <w:t xml:space="preserve">В рамках данного исследования мы попытались </w:t>
      </w:r>
      <w:r w:rsidR="00D9183A">
        <w:t>отразить</w:t>
      </w:r>
      <w:r w:rsidR="00FE6342">
        <w:t xml:space="preserve"> </w:t>
      </w:r>
      <w:r w:rsidR="00D9183A">
        <w:t>актуальную</w:t>
      </w:r>
      <w:r w:rsidR="00FE6342">
        <w:t xml:space="preserve"> картину происшествий, связанных с внутренними утечками, обозначить тенденции и векторы возможного развития </w:t>
      </w:r>
      <w:r w:rsidR="00102D74">
        <w:t>этого типа</w:t>
      </w:r>
      <w:r w:rsidR="00FE6342">
        <w:t xml:space="preserve"> угроз. </w:t>
      </w:r>
    </w:p>
    <w:p w14:paraId="377832AF" w14:textId="577E8DA7" w:rsidR="00E43A3C" w:rsidRDefault="00FE6342" w:rsidP="00452AB6">
      <w:pPr>
        <w:pStyle w:val="a1"/>
      </w:pPr>
      <w:r>
        <w:t>Авторы уверены, что выводы исследования будут интересны практикующим специалистам в области информационной и экономической безопасности организаций, журналистам, собственникам бизнеса и высшему руководству компаний, оперирующих информацией ограниченного доступа, включая</w:t>
      </w:r>
      <w:r w:rsidR="0074329C">
        <w:t xml:space="preserve"> </w:t>
      </w:r>
      <w:r>
        <w:t>коммерческую, банковскую тайны, а также другими ценными информационными активами.</w:t>
      </w:r>
    </w:p>
    <w:p w14:paraId="584358EE" w14:textId="77777777" w:rsidR="00C74D77" w:rsidRDefault="00C74D77" w:rsidP="00C74D77">
      <w:pPr>
        <w:pStyle w:val="1"/>
      </w:pPr>
      <w:bookmarkStart w:id="7" w:name="_Toc528251549"/>
      <w:r w:rsidRPr="0067472D">
        <w:lastRenderedPageBreak/>
        <w:t>Методология</w:t>
      </w:r>
      <w:bookmarkEnd w:id="2"/>
      <w:bookmarkEnd w:id="3"/>
      <w:bookmarkEnd w:id="7"/>
    </w:p>
    <w:p w14:paraId="42D18495" w14:textId="77777777" w:rsidR="00CA162D" w:rsidRDefault="00CA162D" w:rsidP="00CA162D">
      <w:r w:rsidRPr="007E09CE">
        <w:t xml:space="preserve">Исследование </w:t>
      </w:r>
      <w:r>
        <w:t>проводится на основе собственной базы данных, пополняемой</w:t>
      </w:r>
      <w:r w:rsidRPr="007E09CE">
        <w:t xml:space="preserve"> специалистами </w:t>
      </w:r>
      <w:r>
        <w:t>Аналитического ц</w:t>
      </w:r>
      <w:r w:rsidRPr="007E09CE">
        <w:t>ентра</w:t>
      </w:r>
      <w:r>
        <w:t xml:space="preserve"> </w:t>
      </w:r>
      <w:r>
        <w:rPr>
          <w:lang w:val="en-US"/>
        </w:rPr>
        <w:t>InfoWatch</w:t>
      </w:r>
      <w:r w:rsidRPr="007E09CE">
        <w:t xml:space="preserve"> с 2004 года. В </w:t>
      </w:r>
      <w:r>
        <w:t>базу</w:t>
      </w:r>
      <w:r w:rsidRPr="007E09CE">
        <w:t xml:space="preserve"> </w:t>
      </w:r>
      <w:r>
        <w:t>попадают</w:t>
      </w:r>
      <w:r w:rsidRPr="007E09CE">
        <w:t xml:space="preserve"> </w:t>
      </w:r>
      <w:r>
        <w:t>публичные сообщения</w:t>
      </w:r>
      <w:r>
        <w:rPr>
          <w:rStyle w:val="a5"/>
        </w:rPr>
        <w:footnoteReference w:id="3"/>
      </w:r>
      <w:r>
        <w:t xml:space="preserve"> о случаях утечки</w:t>
      </w:r>
      <w:r>
        <w:rPr>
          <w:rStyle w:val="a5"/>
        </w:rPr>
        <w:footnoteReference w:id="4"/>
      </w:r>
      <w:r>
        <w:t xml:space="preserve"> информации из коммерческих, некоммерческих (государственных, муниципальных) организаций, госорганов, которые произошли вследствие</w:t>
      </w:r>
      <w:r w:rsidRPr="007E09CE">
        <w:t xml:space="preserve"> </w:t>
      </w:r>
      <w:r>
        <w:t>умышленных</w:t>
      </w:r>
      <w:r w:rsidRPr="007E09CE">
        <w:t xml:space="preserve"> или неосторожных действий</w:t>
      </w:r>
      <w:r>
        <w:rPr>
          <w:rStyle w:val="a5"/>
        </w:rPr>
        <w:footnoteReference w:id="5"/>
      </w:r>
      <w:r w:rsidRPr="007E09CE">
        <w:t xml:space="preserve"> сотрудников</w:t>
      </w:r>
      <w:r>
        <w:t xml:space="preserve"> и иных лиц</w:t>
      </w:r>
      <w:r>
        <w:rPr>
          <w:rStyle w:val="a5"/>
        </w:rPr>
        <w:footnoteReference w:id="6"/>
      </w:r>
      <w:r>
        <w:t>. Б</w:t>
      </w:r>
      <w:r w:rsidRPr="007E09CE">
        <w:t>аза утечек InfoWatch насчитывает несколько тысяч зарегистри</w:t>
      </w:r>
      <w:r>
        <w:t>р</w:t>
      </w:r>
      <w:r w:rsidRPr="007E09CE">
        <w:t>ованных инцидентов</w:t>
      </w:r>
      <w:r>
        <w:t xml:space="preserve">. </w:t>
      </w:r>
    </w:p>
    <w:p w14:paraId="7AD825DC" w14:textId="77777777" w:rsidR="00CA162D" w:rsidRDefault="00CA162D" w:rsidP="00CA162D">
      <w:r>
        <w:t>В</w:t>
      </w:r>
      <w:r w:rsidRPr="007E09CE">
        <w:t xml:space="preserve"> ходе </w:t>
      </w:r>
      <w:r>
        <w:t>наполнения базы каждая утеч</w:t>
      </w:r>
      <w:r w:rsidRPr="007E09CE">
        <w:t>к</w:t>
      </w:r>
      <w:r>
        <w:t>а</w:t>
      </w:r>
      <w:r w:rsidRPr="007E09CE">
        <w:t xml:space="preserve"> </w:t>
      </w:r>
      <w:r>
        <w:t>классифицируется по ряду критериев, таких как размер</w:t>
      </w:r>
      <w:r w:rsidRPr="007E09CE">
        <w:t xml:space="preserve"> организации</w:t>
      </w:r>
      <w:r>
        <w:rPr>
          <w:rStyle w:val="a5"/>
        </w:rPr>
        <w:footnoteReference w:id="7"/>
      </w:r>
      <w:r w:rsidRPr="007E09CE">
        <w:t>, сфера деятельности</w:t>
      </w:r>
      <w:r>
        <w:t xml:space="preserve"> (отрасль)</w:t>
      </w:r>
      <w:r w:rsidRPr="007E09CE">
        <w:t xml:space="preserve">, </w:t>
      </w:r>
      <w:r>
        <w:t xml:space="preserve">размер причинённого </w:t>
      </w:r>
      <w:r w:rsidRPr="007E09CE">
        <w:t>ущерб</w:t>
      </w:r>
      <w:r>
        <w:t>а</w:t>
      </w:r>
      <w:r>
        <w:rPr>
          <w:rStyle w:val="a5"/>
        </w:rPr>
        <w:footnoteReference w:id="8"/>
      </w:r>
      <w:r>
        <w:t>, тип утечки (по умыслу), канал утечки</w:t>
      </w:r>
      <w:r>
        <w:rPr>
          <w:rStyle w:val="a5"/>
        </w:rPr>
        <w:footnoteReference w:id="9"/>
      </w:r>
      <w:r w:rsidRPr="007E09CE">
        <w:t>, типы утекших данных</w:t>
      </w:r>
      <w:r>
        <w:t>, вектор воздействия</w:t>
      </w:r>
      <w:r>
        <w:rPr>
          <w:rStyle w:val="a5"/>
        </w:rPr>
        <w:footnoteReference w:id="10"/>
      </w:r>
      <w:r>
        <w:t xml:space="preserve">. </w:t>
      </w:r>
    </w:p>
    <w:p w14:paraId="63B7ECDF" w14:textId="2D0D2B6B" w:rsidR="00D54EFE" w:rsidRDefault="00D54EFE" w:rsidP="00D54EFE">
      <w:r>
        <w:t xml:space="preserve">Инциденты также классифицируются по характеру действий нарушителя. Наряду с «простыми» утечками авторы исследования выделяют «квалифицированные» утечки: когда сотрудник, имеющий легитимный доступ к данным, использует полученные сведения в целях мошенничества (манипуляции с платежными данными, инсайдерской информацией); когда сотрудник получает доступ к данным, которые не </w:t>
      </w:r>
      <w:r w:rsidR="00C204CE">
        <w:t xml:space="preserve">требуются </w:t>
      </w:r>
      <w:r>
        <w:t>ему для исполнения служебных обязанностей (превышение прав доступа).</w:t>
      </w:r>
    </w:p>
    <w:p w14:paraId="22070400" w14:textId="77777777" w:rsidR="00D54EFE" w:rsidRDefault="00D54EFE" w:rsidP="00D54EFE">
      <w:r>
        <w:t xml:space="preserve">По оценке авторов, исследование охватывает не более 1% случаев предполагаемого совокупного количества утечек из-за высокого уровня латентности инцидентов, связанных с компрометацией информации. Однако критерии категоризации утечек подобраны так, чтобы исследуемые множества </w:t>
      </w:r>
      <w:r w:rsidRPr="00BB686D">
        <w:t>(совокупности категорий) содержали достаточное или избыточное количество элементов — фактических случаев утечки. Такой подход к формированию поля исследования позволяет</w:t>
      </w:r>
      <w:r w:rsidRPr="00E411E3">
        <w:t xml:space="preserve"> считать получ</w:t>
      </w:r>
      <w:r>
        <w:t>енную</w:t>
      </w:r>
      <w:r w:rsidRPr="00E411E3">
        <w:t xml:space="preserve"> выборку </w:t>
      </w:r>
      <w:r w:rsidRPr="00BB686D">
        <w:t>теоретической, а выводы исследования и выявленные с учетом данной выборки тренды — репрезентативными</w:t>
      </w:r>
      <w:r w:rsidRPr="00E411E3">
        <w:t xml:space="preserve"> для генеральной совокупности</w:t>
      </w:r>
      <w:r>
        <w:t>.</w:t>
      </w:r>
    </w:p>
    <w:p w14:paraId="7B75E256" w14:textId="0B09BA0A" w:rsidR="00D54EFE" w:rsidRPr="0017331B" w:rsidRDefault="00D54EFE" w:rsidP="00D54EFE">
      <w:r>
        <w:lastRenderedPageBreak/>
        <w:t>При формировании диаграмм по отдельным разрезам из выборки исключены утечки, классифицированные по основному критерию разреза как неопределенные</w:t>
      </w:r>
      <w:r>
        <w:rPr>
          <w:rStyle w:val="a5"/>
        </w:rPr>
        <w:footnoteReference w:id="11"/>
      </w:r>
      <w:r>
        <w:t xml:space="preserve">. </w:t>
      </w:r>
      <w:r w:rsidR="00713CE6">
        <w:t xml:space="preserve">Кроме того, все диаграммы в данном исследовании, если специально </w:t>
      </w:r>
      <w:r w:rsidR="004424CD">
        <w:t xml:space="preserve">не </w:t>
      </w:r>
      <w:r w:rsidR="00713CE6">
        <w:t>оговорено иное</w:t>
      </w:r>
      <w:r w:rsidR="004424CD">
        <w:t xml:space="preserve">, содержат сведения исключительно о внутренних утечках. </w:t>
      </w:r>
    </w:p>
    <w:p w14:paraId="62859A3A" w14:textId="6D4762FD" w:rsidR="00D54EFE" w:rsidRDefault="00D54EFE" w:rsidP="00D54EFE">
      <w:r w:rsidRPr="007E09CE">
        <w:t>Случаи нарушения конфиденциально</w:t>
      </w:r>
      <w:r>
        <w:t>сти</w:t>
      </w:r>
      <w:r w:rsidRPr="007E09CE">
        <w:t xml:space="preserve"> информации</w:t>
      </w:r>
      <w:r>
        <w:t xml:space="preserve"> и</w:t>
      </w:r>
      <w:r w:rsidRPr="007E09CE">
        <w:t xml:space="preserve"> иные инциденты </w:t>
      </w:r>
      <w:r>
        <w:t>информационной безопасности (</w:t>
      </w:r>
      <w:r w:rsidRPr="007E09CE">
        <w:t>ИБ</w:t>
      </w:r>
      <w:r>
        <w:t xml:space="preserve">), например </w:t>
      </w:r>
      <w:r w:rsidRPr="007E09CE">
        <w:rPr>
          <w:lang w:val="en-US"/>
        </w:rPr>
        <w:t>DDoS</w:t>
      </w:r>
      <w:r>
        <w:t xml:space="preserve">-атаки, не повлекшие </w:t>
      </w:r>
      <w:r w:rsidR="00691D6A">
        <w:t xml:space="preserve">компрометации </w:t>
      </w:r>
      <w:r>
        <w:t>данных,</w:t>
      </w:r>
      <w:r w:rsidRPr="007E09CE">
        <w:t xml:space="preserve"> </w:t>
      </w:r>
      <w:r>
        <w:t>а также утечки с неясным источником данных, когда неизвестно, какой организации принадлежали скомпрометированные данные, не включ</w:t>
      </w:r>
      <w:r w:rsidR="003D1868">
        <w:t>ены</w:t>
      </w:r>
      <w:r w:rsidRPr="007E09CE">
        <w:t xml:space="preserve"> в</w:t>
      </w:r>
      <w:r>
        <w:t xml:space="preserve"> выборку.</w:t>
      </w:r>
    </w:p>
    <w:p w14:paraId="3A7A9CFB" w14:textId="77777777" w:rsidR="00D54EFE" w:rsidRDefault="00D54EFE" w:rsidP="00D54EFE">
      <w:r>
        <w:t xml:space="preserve">Авторы настоящего исследования не ставили перед собой задачи определить точное количество произошедших утечек, оценить причинённый ими реальный или возможный финансовый ущерб. Исследование направлено на выявление динамики процессов, характеризующих глобальную, отраслевую и региональную картину происшествий, связанных с утечками информации. </w:t>
      </w:r>
    </w:p>
    <w:p w14:paraId="107A0560" w14:textId="77777777" w:rsidR="00625AA4" w:rsidRDefault="00625AA4">
      <w:pPr>
        <w:suppressAutoHyphens w:val="0"/>
        <w:spacing w:before="0" w:after="0"/>
      </w:pPr>
      <w:r>
        <w:br w:type="page"/>
      </w:r>
    </w:p>
    <w:p w14:paraId="447406F8" w14:textId="34CDA8CC" w:rsidR="00A7687A" w:rsidRDefault="00C74D77" w:rsidP="00234411">
      <w:pPr>
        <w:pStyle w:val="1"/>
      </w:pPr>
      <w:bookmarkStart w:id="8" w:name="_Toc422401822"/>
      <w:bookmarkStart w:id="9" w:name="_Toc528251550"/>
      <w:r>
        <w:lastRenderedPageBreak/>
        <w:t>Результаты исследования</w:t>
      </w:r>
      <w:bookmarkEnd w:id="8"/>
      <w:bookmarkEnd w:id="9"/>
    </w:p>
    <w:p w14:paraId="3F7B17F7" w14:textId="1CEDB9E4" w:rsidR="00F21692" w:rsidRPr="00D04824" w:rsidRDefault="00173B7D" w:rsidP="00F21692">
      <w:pPr>
        <w:pStyle w:val="a1"/>
      </w:pPr>
      <w:r>
        <w:t xml:space="preserve">В 2017 году Аналитический центр </w:t>
      </w:r>
      <w:r>
        <w:rPr>
          <w:lang w:val="en-US"/>
        </w:rPr>
        <w:t>InfoWatch</w:t>
      </w:r>
      <w:r>
        <w:t xml:space="preserve"> зафиксировал реко</w:t>
      </w:r>
      <w:r w:rsidR="00B21A83">
        <w:t>рдные 1228 утечек</w:t>
      </w:r>
      <w:r w:rsidR="003D1868">
        <w:t xml:space="preserve"> конфиденциальной информации</w:t>
      </w:r>
      <w:r w:rsidR="00B21A83">
        <w:t>, случившихся по вине или по неосторожности внутренн</w:t>
      </w:r>
      <w:r w:rsidR="004942FD">
        <w:t>их</w:t>
      </w:r>
      <w:r w:rsidR="00B21A83">
        <w:t xml:space="preserve"> нарушител</w:t>
      </w:r>
      <w:r w:rsidR="004942FD">
        <w:t xml:space="preserve">ей — </w:t>
      </w:r>
      <w:proofErr w:type="gramStart"/>
      <w:r w:rsidR="004F21F6">
        <w:t>топ-менеджеров</w:t>
      </w:r>
      <w:proofErr w:type="gramEnd"/>
      <w:r w:rsidR="004F21F6">
        <w:t xml:space="preserve"> и иных привилегированных пользователей, </w:t>
      </w:r>
      <w:r w:rsidR="004942FD">
        <w:t xml:space="preserve">сотрудников </w:t>
      </w:r>
      <w:r w:rsidR="0034738A">
        <w:t>организаци</w:t>
      </w:r>
      <w:r w:rsidR="004F21F6">
        <w:t>й</w:t>
      </w:r>
      <w:r w:rsidR="004942FD">
        <w:t>, подрядчиков</w:t>
      </w:r>
      <w:r w:rsidR="00B21A83">
        <w:t xml:space="preserve"> (далее </w:t>
      </w:r>
      <w:r w:rsidR="00625827">
        <w:t>—</w:t>
      </w:r>
      <w:r w:rsidR="00B21A83">
        <w:t xml:space="preserve"> внутренние утечки)</w:t>
      </w:r>
      <w:r w:rsidR="00625827">
        <w:t xml:space="preserve">. </w:t>
      </w:r>
      <w:r w:rsidR="00531E7F">
        <w:t xml:space="preserve">При этом </w:t>
      </w:r>
      <w:r w:rsidR="00C81E65">
        <w:t xml:space="preserve">устойчивого </w:t>
      </w:r>
      <w:r w:rsidR="00D04824">
        <w:t xml:space="preserve">объяснимого </w:t>
      </w:r>
      <w:r w:rsidR="00C81E65">
        <w:t>рост</w:t>
      </w:r>
      <w:r w:rsidR="001A5FD3">
        <w:t>а</w:t>
      </w:r>
      <w:r w:rsidR="00C81E65">
        <w:t xml:space="preserve"> или снижени</w:t>
      </w:r>
      <w:r w:rsidR="001A5FD3">
        <w:t>я</w:t>
      </w:r>
      <w:r w:rsidR="00C81E65">
        <w:t xml:space="preserve"> числа утечек</w:t>
      </w:r>
      <w:r w:rsidR="00DD562B">
        <w:t>, спровоцированных внутренним нарушителем,</w:t>
      </w:r>
      <w:r w:rsidR="00C81E65">
        <w:t xml:space="preserve"> </w:t>
      </w:r>
      <w:r w:rsidR="005B33B0">
        <w:t xml:space="preserve">в исследуемом периоде </w:t>
      </w:r>
      <w:r w:rsidR="00FF1EBC">
        <w:t>(в</w:t>
      </w:r>
      <w:r w:rsidR="00622673">
        <w:t xml:space="preserve"> частности,</w:t>
      </w:r>
      <w:r w:rsidR="00FF1EBC">
        <w:t xml:space="preserve"> с 201</w:t>
      </w:r>
      <w:r w:rsidR="00ED29AF">
        <w:t>4</w:t>
      </w:r>
      <w:r w:rsidR="00FF1EBC">
        <w:t xml:space="preserve"> года</w:t>
      </w:r>
      <w:r w:rsidR="00ED29AF">
        <w:rPr>
          <w:rStyle w:val="a5"/>
        </w:rPr>
        <w:footnoteReference w:id="12"/>
      </w:r>
      <w:r w:rsidR="00FF1EBC">
        <w:t xml:space="preserve">) </w:t>
      </w:r>
      <w:r w:rsidR="005B33B0">
        <w:t>не наблюдается</w:t>
      </w:r>
      <w:r w:rsidR="008164B9">
        <w:t xml:space="preserve"> (см. </w:t>
      </w:r>
      <w:r w:rsidR="008164B9">
        <w:fldChar w:fldCharType="begin"/>
      </w:r>
      <w:r w:rsidR="008164B9">
        <w:instrText xml:space="preserve"> REF _Ref379543051 \h </w:instrText>
      </w:r>
      <w:r w:rsidR="008164B9">
        <w:fldChar w:fldCharType="separate"/>
      </w:r>
      <w:r w:rsidR="008164B9">
        <w:t>Рисунок 1</w:t>
      </w:r>
      <w:r w:rsidR="008164B9">
        <w:fldChar w:fldCharType="end"/>
      </w:r>
      <w:r w:rsidR="008164B9">
        <w:t>)</w:t>
      </w:r>
      <w:r w:rsidR="00836D6F">
        <w:t>.</w:t>
      </w:r>
      <w:r w:rsidR="008471AE" w:rsidRPr="008471AE">
        <w:t xml:space="preserve"> </w:t>
      </w:r>
    </w:p>
    <w:p w14:paraId="31241134" w14:textId="77777777" w:rsidR="00C06610" w:rsidRDefault="00C06610" w:rsidP="00C06610">
      <w:pPr>
        <w:pStyle w:val="a1"/>
        <w:keepNext/>
      </w:pPr>
      <w:r w:rsidRPr="007E09CE">
        <w:rPr>
          <w:noProof/>
        </w:rPr>
        <w:drawing>
          <wp:inline distT="0" distB="0" distL="0" distR="0" wp14:anchorId="62ABB4F9" wp14:editId="04F97A09">
            <wp:extent cx="6203950" cy="1450943"/>
            <wp:effectExtent l="0" t="0" r="635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FB4B5B5" w14:textId="7424371D" w:rsidR="00C06610" w:rsidRDefault="00C06610" w:rsidP="00C06610">
      <w:pPr>
        <w:pStyle w:val="afc"/>
      </w:pPr>
      <w:bookmarkStart w:id="10" w:name="_Ref379543051"/>
      <w:r>
        <w:t xml:space="preserve">Рисунок </w:t>
      </w:r>
      <w:r>
        <w:rPr>
          <w:noProof w:val="0"/>
        </w:rPr>
        <w:fldChar w:fldCharType="begin"/>
      </w:r>
      <w:r>
        <w:instrText xml:space="preserve"> SEQ Рисунок \* ARABIC </w:instrText>
      </w:r>
      <w:r>
        <w:rPr>
          <w:noProof w:val="0"/>
        </w:rPr>
        <w:fldChar w:fldCharType="separate"/>
      </w:r>
      <w:r>
        <w:t>1</w:t>
      </w:r>
      <w:r>
        <w:fldChar w:fldCharType="end"/>
      </w:r>
      <w:bookmarkEnd w:id="10"/>
      <w:r>
        <w:t>. Число внутренних утечек информации, 2004 -201</w:t>
      </w:r>
      <w:r w:rsidR="00CD3ED9">
        <w:t>7</w:t>
      </w:r>
      <w:r>
        <w:t xml:space="preserve"> гг</w:t>
      </w:r>
      <w:r w:rsidRPr="003C521B">
        <w:t>.</w:t>
      </w:r>
    </w:p>
    <w:p w14:paraId="3E194704" w14:textId="4E1EE2CA" w:rsidR="002D3CA1" w:rsidRDefault="002D3CA1" w:rsidP="00981C3A">
      <w:r>
        <w:t>Скорее, можно говорить о несистемных колебаниях числа внутренних утечек на фоне постоянного (на горизонте 3-5 лет) роста количества утечек данных в целом.</w:t>
      </w:r>
    </w:p>
    <w:p w14:paraId="721FD1C7" w14:textId="65C33965" w:rsidR="00981C3A" w:rsidRDefault="00CD563B" w:rsidP="00981C3A">
      <w:r>
        <w:t>Д</w:t>
      </w:r>
      <w:r w:rsidR="00D949C4">
        <w:t>ол</w:t>
      </w:r>
      <w:r w:rsidR="00B75D3D">
        <w:t>я</w:t>
      </w:r>
      <w:r w:rsidR="00D949C4">
        <w:t xml:space="preserve"> внутренних утечек </w:t>
      </w:r>
      <w:r w:rsidR="00972A4E">
        <w:t>в распределении утечек по вектору</w:t>
      </w:r>
      <w:r w:rsidR="00933896">
        <w:t xml:space="preserve"> воздействия</w:t>
      </w:r>
      <w:r w:rsidR="00933896">
        <w:rPr>
          <w:rStyle w:val="a5"/>
        </w:rPr>
        <w:footnoteReference w:id="13"/>
      </w:r>
      <w:r w:rsidR="009B003B">
        <w:t xml:space="preserve"> три года подряд</w:t>
      </w:r>
      <w:r w:rsidR="004E4E52">
        <w:t xml:space="preserve"> </w:t>
      </w:r>
      <w:r w:rsidR="003D1868">
        <w:t>снижалась</w:t>
      </w:r>
      <w:r w:rsidR="003D1868" w:rsidRPr="003D1868">
        <w:t xml:space="preserve">, </w:t>
      </w:r>
      <w:r w:rsidR="003D1868">
        <w:t>затем в 2017 г</w:t>
      </w:r>
      <w:r w:rsidR="003D1868" w:rsidRPr="003D1868">
        <w:t xml:space="preserve">. </w:t>
      </w:r>
      <w:r w:rsidR="003D1868">
        <w:t>она немного выросла</w:t>
      </w:r>
      <w:r w:rsidR="00F902E8">
        <w:t xml:space="preserve">. </w:t>
      </w:r>
      <w:r w:rsidR="00950D93">
        <w:t>Е</w:t>
      </w:r>
      <w:r w:rsidR="006E7A50">
        <w:t xml:space="preserve">сли в 2014 году на долю внутреннего нарушителя приходилось </w:t>
      </w:r>
      <w:r w:rsidR="004C2E8A">
        <w:t xml:space="preserve">около </w:t>
      </w:r>
      <w:r w:rsidR="006E7A50">
        <w:t xml:space="preserve">73% </w:t>
      </w:r>
      <w:r w:rsidR="00381C2C">
        <w:t>от всех</w:t>
      </w:r>
      <w:r w:rsidR="00444B2F">
        <w:t xml:space="preserve"> </w:t>
      </w:r>
      <w:r w:rsidR="009A04BE">
        <w:t xml:space="preserve">утечек информации ограниченного доступа, то в 2017 году </w:t>
      </w:r>
      <w:r w:rsidR="00764EC9">
        <w:t xml:space="preserve">доля внутренних утечек составила </w:t>
      </w:r>
      <w:r w:rsidR="00381C2C">
        <w:t xml:space="preserve">менее </w:t>
      </w:r>
      <w:r w:rsidR="00764EC9">
        <w:t>58%</w:t>
      </w:r>
      <w:r w:rsidR="00950D93">
        <w:t xml:space="preserve"> (см. </w:t>
      </w:r>
      <w:r w:rsidR="00950D93">
        <w:fldChar w:fldCharType="begin"/>
      </w:r>
      <w:r w:rsidR="00950D93">
        <w:instrText xml:space="preserve"> REF _Ref527989753 \h </w:instrText>
      </w:r>
      <w:r w:rsidR="00950D93">
        <w:fldChar w:fldCharType="separate"/>
      </w:r>
      <w:r w:rsidR="00950D93">
        <w:t>Рисунок 2</w:t>
      </w:r>
      <w:r w:rsidR="00950D93">
        <w:fldChar w:fldCharType="end"/>
      </w:r>
      <w:r w:rsidR="00950D93">
        <w:t>).</w:t>
      </w:r>
    </w:p>
    <w:p w14:paraId="678F2EF6" w14:textId="77777777" w:rsidR="000875FF" w:rsidRDefault="000875FF" w:rsidP="000875FF">
      <w:pPr>
        <w:pStyle w:val="a1"/>
        <w:keepNext/>
      </w:pPr>
      <w:r>
        <w:rPr>
          <w:noProof/>
        </w:rPr>
        <w:drawing>
          <wp:inline distT="0" distB="0" distL="0" distR="0" wp14:anchorId="38D9A070" wp14:editId="70C24A2A">
            <wp:extent cx="6180455" cy="1698038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B098FAC" w14:textId="7A314429" w:rsidR="000875FF" w:rsidRDefault="000875FF" w:rsidP="000875FF">
      <w:pPr>
        <w:pStyle w:val="afc"/>
      </w:pPr>
      <w:bookmarkStart w:id="11" w:name="_Ref527989753"/>
      <w:r>
        <w:t xml:space="preserve">Рисунок </w:t>
      </w:r>
      <w:r>
        <w:rPr>
          <w:noProof w:val="0"/>
        </w:rPr>
        <w:fldChar w:fldCharType="begin"/>
      </w:r>
      <w:r>
        <w:instrText xml:space="preserve"> SEQ Рисунок \* ARABIC </w:instrText>
      </w:r>
      <w:r>
        <w:rPr>
          <w:noProof w:val="0"/>
        </w:rPr>
        <w:fldChar w:fldCharType="separate"/>
      </w:r>
      <w:r>
        <w:t>2</w:t>
      </w:r>
      <w:r>
        <w:fldChar w:fldCharType="end"/>
      </w:r>
      <w:bookmarkEnd w:id="11"/>
      <w:r>
        <w:t>. Число внутренних утечек информации и доля утечек этого типа</w:t>
      </w:r>
      <w:r w:rsidR="00366624">
        <w:t xml:space="preserve"> от общего числа утечек</w:t>
      </w:r>
      <w:r>
        <w:t>, 2013 - 2017 гг.</w:t>
      </w:r>
    </w:p>
    <w:p w14:paraId="5A3992DE" w14:textId="6718FD79" w:rsidR="00981C3A" w:rsidRDefault="00105F60" w:rsidP="00981C3A">
      <w:proofErr w:type="gramStart"/>
      <w:r>
        <w:lastRenderedPageBreak/>
        <w:t>Е</w:t>
      </w:r>
      <w:r w:rsidR="00950D93">
        <w:t>сли в количественном выражении число внутренних утечек в 2017</w:t>
      </w:r>
      <w:r>
        <w:t xml:space="preserve"> году</w:t>
      </w:r>
      <w:r w:rsidR="00950D93">
        <w:t xml:space="preserve"> выросло по отношению к 2016 году на 40%, то в процентном выражении доля </w:t>
      </w:r>
      <w:r w:rsidR="0063015F">
        <w:t>этих утечек</w:t>
      </w:r>
      <w:r w:rsidR="00950D93">
        <w:t xml:space="preserve"> </w:t>
      </w:r>
      <w:r w:rsidR="00E05CFB">
        <w:t>за тот же период увеличилась</w:t>
      </w:r>
      <w:r w:rsidR="00950D93">
        <w:t xml:space="preserve"> </w:t>
      </w:r>
      <w:r w:rsidR="00814D3A">
        <w:t xml:space="preserve">лишь </w:t>
      </w:r>
      <w:r w:rsidR="00950D93">
        <w:t>на 2%</w:t>
      </w:r>
      <w:r w:rsidR="001B793E">
        <w:t>.</w:t>
      </w:r>
      <w:r w:rsidR="00950D93">
        <w:t xml:space="preserve"> </w:t>
      </w:r>
      <w:r w:rsidR="00200D44">
        <w:t>Очевидно, подобное несоответствие вызвано опережающ</w:t>
      </w:r>
      <w:r w:rsidR="000516B5">
        <w:t>им</w:t>
      </w:r>
      <w:r w:rsidR="00200D44">
        <w:t xml:space="preserve"> ростом числа утечек под воздействием внешнего злоумышленника</w:t>
      </w:r>
      <w:r w:rsidR="003A4ED5">
        <w:t xml:space="preserve"> по отношению к динамике внутренних утечек</w:t>
      </w:r>
      <w:r w:rsidR="00200D44">
        <w:t xml:space="preserve">. </w:t>
      </w:r>
      <w:proofErr w:type="gramEnd"/>
    </w:p>
    <w:p w14:paraId="7E8BB22B" w14:textId="347F5C14" w:rsidR="00D87A42" w:rsidRDefault="00227050" w:rsidP="00981C3A">
      <w:r>
        <w:t>О</w:t>
      </w:r>
      <w:r w:rsidR="001B793E">
        <w:t xml:space="preserve">бъем </w:t>
      </w:r>
      <w:r w:rsidR="00A11833">
        <w:t xml:space="preserve">скомпрометированных </w:t>
      </w:r>
      <w:r w:rsidR="001B793E">
        <w:t>данных в расчете на одну утечку</w:t>
      </w:r>
      <w:r w:rsidR="001C081E">
        <w:t xml:space="preserve"> («мощность» утечки)</w:t>
      </w:r>
      <w:r w:rsidR="00A94A8B">
        <w:t xml:space="preserve"> для внутренних </w:t>
      </w:r>
      <w:r w:rsidR="003E3848">
        <w:t xml:space="preserve">инцидентов </w:t>
      </w:r>
      <w:r w:rsidR="00A94A8B">
        <w:t>в 2017 году составляет 3</w:t>
      </w:r>
      <w:r w:rsidR="001E5874">
        <w:t xml:space="preserve">,8 </w:t>
      </w:r>
      <w:proofErr w:type="gramStart"/>
      <w:r w:rsidR="001E5874">
        <w:t>млн</w:t>
      </w:r>
      <w:proofErr w:type="gramEnd"/>
      <w:r w:rsidR="001E5874">
        <w:t xml:space="preserve"> записей, </w:t>
      </w:r>
      <w:r w:rsidR="00A9635B">
        <w:t xml:space="preserve">для внешних — </w:t>
      </w:r>
      <w:r>
        <w:t>8,2 млн записей.</w:t>
      </w:r>
    </w:p>
    <w:p w14:paraId="0C2878D3" w14:textId="496DDD34" w:rsidR="001B793E" w:rsidRPr="002A61B2" w:rsidRDefault="00105F60" w:rsidP="00981C3A">
      <w:r>
        <w:t xml:space="preserve">В 2017 году мы зафиксировали стремительный рост </w:t>
      </w:r>
      <w:r w:rsidR="003E3848">
        <w:t>«мощности» утечек —</w:t>
      </w:r>
      <w:r>
        <w:t xml:space="preserve"> совокупного объема скомпрометированных данных</w:t>
      </w:r>
      <w:r w:rsidRPr="00105F60">
        <w:t xml:space="preserve">, </w:t>
      </w:r>
      <w:r>
        <w:t>разделенного на общее число утечек</w:t>
      </w:r>
      <w:r w:rsidRPr="00105F60">
        <w:t xml:space="preserve">. </w:t>
      </w:r>
      <w:r w:rsidR="004551EE">
        <w:t>До этого в течение трех лет данный показатель ос</w:t>
      </w:r>
      <w:r w:rsidR="00A26269">
        <w:t>тавался достаточно стабильным —</w:t>
      </w:r>
      <w:r w:rsidR="004551EE">
        <w:t xml:space="preserve"> на уровне 0</w:t>
      </w:r>
      <w:r w:rsidR="004551EE" w:rsidRPr="004551EE">
        <w:t xml:space="preserve">,6 </w:t>
      </w:r>
      <w:proofErr w:type="gramStart"/>
      <w:r w:rsidR="004551EE">
        <w:t>млн</w:t>
      </w:r>
      <w:proofErr w:type="gramEnd"/>
      <w:r w:rsidR="004551EE">
        <w:t xml:space="preserve"> скомпрометированных записей на один инцидент</w:t>
      </w:r>
      <w:r w:rsidR="004551EE" w:rsidRPr="004551EE">
        <w:t xml:space="preserve">. </w:t>
      </w:r>
      <w:r w:rsidR="004551EE">
        <w:t xml:space="preserve">Если </w:t>
      </w:r>
      <w:r w:rsidR="00D87A42">
        <w:t>«мощность» внутренн</w:t>
      </w:r>
      <w:r w:rsidR="004551EE">
        <w:t>ей</w:t>
      </w:r>
      <w:r w:rsidR="00D87A42">
        <w:t xml:space="preserve"> утеч</w:t>
      </w:r>
      <w:r w:rsidR="004551EE">
        <w:t>ки</w:t>
      </w:r>
      <w:r w:rsidR="00D87A42">
        <w:t xml:space="preserve"> </w:t>
      </w:r>
      <w:r w:rsidR="004551EE">
        <w:t xml:space="preserve">в 2017 году </w:t>
      </w:r>
      <w:r w:rsidR="002A61B2">
        <w:t>вырос</w:t>
      </w:r>
      <w:r w:rsidR="00067874">
        <w:t>ла</w:t>
      </w:r>
      <w:r w:rsidR="002A61B2">
        <w:t xml:space="preserve"> </w:t>
      </w:r>
      <w:r w:rsidR="007254F1">
        <w:t>в 6,8 раз</w:t>
      </w:r>
      <w:r w:rsidR="004C2E8A">
        <w:t>а</w:t>
      </w:r>
      <w:r w:rsidR="00D45FA0">
        <w:t xml:space="preserve"> (см. </w:t>
      </w:r>
      <w:r w:rsidR="00D45FA0">
        <w:fldChar w:fldCharType="begin"/>
      </w:r>
      <w:r w:rsidR="00D45FA0">
        <w:instrText xml:space="preserve"> REF _Ref527994195 \h </w:instrText>
      </w:r>
      <w:r w:rsidR="00D45FA0">
        <w:fldChar w:fldCharType="separate"/>
      </w:r>
      <w:r w:rsidR="00D45FA0">
        <w:t>Рисунок 3</w:t>
      </w:r>
      <w:r w:rsidR="00D45FA0">
        <w:fldChar w:fldCharType="end"/>
      </w:r>
      <w:r w:rsidR="00D45FA0">
        <w:t>)</w:t>
      </w:r>
      <w:r w:rsidR="007254F1">
        <w:t xml:space="preserve">, </w:t>
      </w:r>
      <w:r w:rsidR="004551EE">
        <w:t xml:space="preserve">то средняя </w:t>
      </w:r>
      <w:r w:rsidR="00067874">
        <w:t>«мощность» утечек в целом</w:t>
      </w:r>
      <w:r w:rsidR="00C002E2">
        <w:t xml:space="preserve"> </w:t>
      </w:r>
      <w:r w:rsidR="000863E3">
        <w:t xml:space="preserve">за тот же период </w:t>
      </w:r>
      <w:r w:rsidR="00D45FA0">
        <w:t>увеличил</w:t>
      </w:r>
      <w:r w:rsidR="000863E3">
        <w:t>ась</w:t>
      </w:r>
      <w:r w:rsidR="00D45FA0">
        <w:t xml:space="preserve"> в 4,2 раза.</w:t>
      </w:r>
    </w:p>
    <w:p w14:paraId="46294BFE" w14:textId="77777777" w:rsidR="000104E4" w:rsidRDefault="000104E4" w:rsidP="000104E4">
      <w:pPr>
        <w:pStyle w:val="a1"/>
        <w:keepNext/>
      </w:pPr>
      <w:r>
        <w:rPr>
          <w:noProof/>
        </w:rPr>
        <w:drawing>
          <wp:inline distT="0" distB="0" distL="0" distR="0" wp14:anchorId="1475BF6F" wp14:editId="0DC2ADF4">
            <wp:extent cx="6118225" cy="1302980"/>
            <wp:effectExtent l="0" t="0" r="0" b="0"/>
            <wp:docPr id="44" name="Диаграмма 4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39553241" w14:textId="043384E3" w:rsidR="000104E4" w:rsidRDefault="000104E4" w:rsidP="000104E4">
      <w:pPr>
        <w:pStyle w:val="afc"/>
      </w:pPr>
      <w:bookmarkStart w:id="12" w:name="_Ref527994195"/>
      <w:r>
        <w:t xml:space="preserve">Рисунок </w:t>
      </w:r>
      <w:r>
        <w:rPr>
          <w:noProof w:val="0"/>
        </w:rPr>
        <w:fldChar w:fldCharType="begin"/>
      </w:r>
      <w:r>
        <w:instrText xml:space="preserve"> SEQ Рисунок \* ARABIC </w:instrText>
      </w:r>
      <w:r>
        <w:rPr>
          <w:noProof w:val="0"/>
        </w:rPr>
        <w:fldChar w:fldCharType="separate"/>
      </w:r>
      <w:r>
        <w:t>3</w:t>
      </w:r>
      <w:r>
        <w:fldChar w:fldCharType="end"/>
      </w:r>
      <w:bookmarkEnd w:id="12"/>
      <w:r>
        <w:t>. Объем данных в расчете на одну утечку</w:t>
      </w:r>
      <w:r w:rsidR="00604735">
        <w:t>, совершенную внутренним злоумылшенником</w:t>
      </w:r>
      <w:r>
        <w:t>,</w:t>
      </w:r>
      <w:r w:rsidR="00014562">
        <w:t xml:space="preserve"> млн</w:t>
      </w:r>
      <w:r w:rsidR="00505014">
        <w:t xml:space="preserve"> записей, </w:t>
      </w:r>
      <w:r>
        <w:t>2013 - 2017 гг.</w:t>
      </w:r>
    </w:p>
    <w:p w14:paraId="430E7B78" w14:textId="2BB0C2F7" w:rsidR="009868B5" w:rsidRDefault="00FA5B1A" w:rsidP="001D5F0E">
      <w:r>
        <w:t>С</w:t>
      </w:r>
      <w:r w:rsidR="009868B5">
        <w:t>ледует учитывать</w:t>
      </w:r>
      <w:r w:rsidR="00384E10">
        <w:t xml:space="preserve">, что в 2017 году наблюдался взрывной рост объема скомпрометированных </w:t>
      </w:r>
      <w:proofErr w:type="gramStart"/>
      <w:r w:rsidR="00384E10">
        <w:t>записей</w:t>
      </w:r>
      <w:proofErr w:type="gramEnd"/>
      <w:r w:rsidR="00384E10">
        <w:t xml:space="preserve"> как в результате действий внутреннего нарушителя, так и по</w:t>
      </w:r>
      <w:r w:rsidR="00B932E4">
        <w:t>д воздействием извне.</w:t>
      </w:r>
      <w:r w:rsidR="00F75651">
        <w:t xml:space="preserve"> </w:t>
      </w:r>
      <w:r w:rsidR="005E5B79">
        <w:t>Но</w:t>
      </w:r>
      <w:r w:rsidR="00F75651">
        <w:t xml:space="preserve"> если </w:t>
      </w:r>
      <w:r w:rsidR="0019751E">
        <w:t xml:space="preserve">совокупный </w:t>
      </w:r>
      <w:r w:rsidR="00F75651">
        <w:t xml:space="preserve">объем </w:t>
      </w:r>
      <w:r w:rsidR="00343315">
        <w:t xml:space="preserve">данных, скомпрометированных в результате </w:t>
      </w:r>
      <w:r w:rsidR="00E62052">
        <w:t>вне</w:t>
      </w:r>
      <w:r w:rsidR="006C56CA">
        <w:t xml:space="preserve">шних </w:t>
      </w:r>
      <w:r w:rsidR="00343315">
        <w:t>утечек</w:t>
      </w:r>
      <w:r w:rsidR="0019751E">
        <w:t>,</w:t>
      </w:r>
      <w:r w:rsidR="00343315">
        <w:t xml:space="preserve"> </w:t>
      </w:r>
      <w:r w:rsidR="006C56CA">
        <w:t>вырос в 2,6 раза</w:t>
      </w:r>
      <w:r w:rsidR="00A170E7">
        <w:t>,</w:t>
      </w:r>
      <w:r w:rsidR="00343315">
        <w:t xml:space="preserve"> то объем данных, скомпрометированных </w:t>
      </w:r>
      <w:r w:rsidR="001F1E7B">
        <w:t>по вине внутреннего нарушителя</w:t>
      </w:r>
      <w:r w:rsidR="00A170E7">
        <w:t>,</w:t>
      </w:r>
      <w:r w:rsidR="001F1E7B">
        <w:t xml:space="preserve"> </w:t>
      </w:r>
      <w:r w:rsidR="006C56CA">
        <w:t>показал</w:t>
      </w:r>
      <w:r w:rsidR="0073017B">
        <w:t xml:space="preserve"> почти</w:t>
      </w:r>
      <w:r w:rsidR="006C56CA">
        <w:t xml:space="preserve"> </w:t>
      </w:r>
      <w:r w:rsidR="00246AAA">
        <w:t>десяти</w:t>
      </w:r>
      <w:r w:rsidR="006C56CA">
        <w:t>кратный рост</w:t>
      </w:r>
      <w:r w:rsidR="002A1569">
        <w:t xml:space="preserve"> (см. </w:t>
      </w:r>
      <w:r w:rsidR="002A1569">
        <w:fldChar w:fldCharType="begin"/>
      </w:r>
      <w:r w:rsidR="002A1569">
        <w:instrText xml:space="preserve"> REF _Ref528077108 \h </w:instrText>
      </w:r>
      <w:r w:rsidR="002A1569">
        <w:fldChar w:fldCharType="separate"/>
      </w:r>
      <w:r w:rsidR="002A1569">
        <w:t>Рисунок 4</w:t>
      </w:r>
      <w:r w:rsidR="002A1569">
        <w:fldChar w:fldCharType="end"/>
      </w:r>
      <w:r w:rsidR="002A1569">
        <w:t>)</w:t>
      </w:r>
      <w:r w:rsidR="001F1E7B">
        <w:t>.</w:t>
      </w:r>
    </w:p>
    <w:p w14:paraId="67404A76" w14:textId="77777777" w:rsidR="004623A4" w:rsidRDefault="004623A4" w:rsidP="004623A4">
      <w:pPr>
        <w:pStyle w:val="a1"/>
        <w:keepNext/>
      </w:pPr>
      <w:r>
        <w:rPr>
          <w:noProof/>
        </w:rPr>
        <w:drawing>
          <wp:inline distT="0" distB="0" distL="0" distR="0" wp14:anchorId="3E03D6F9" wp14:editId="442E41A0">
            <wp:extent cx="6191885" cy="1549722"/>
            <wp:effectExtent l="0" t="0" r="0" b="0"/>
            <wp:docPr id="43" name="Диаграмма 4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28757B31" w14:textId="622DA18F" w:rsidR="004623A4" w:rsidRDefault="004623A4" w:rsidP="004623A4">
      <w:pPr>
        <w:pStyle w:val="afc"/>
      </w:pPr>
      <w:bookmarkStart w:id="13" w:name="_Ref467070985"/>
      <w:r>
        <w:t xml:space="preserve">Рисунок </w:t>
      </w:r>
      <w:r>
        <w:rPr>
          <w:noProof w:val="0"/>
        </w:rPr>
        <w:fldChar w:fldCharType="begin"/>
      </w:r>
      <w:r>
        <w:instrText xml:space="preserve"> SEQ Рисунок \* ARABIC </w:instrText>
      </w:r>
      <w:r>
        <w:rPr>
          <w:noProof w:val="0"/>
        </w:rPr>
        <w:fldChar w:fldCharType="separate"/>
      </w:r>
      <w:r w:rsidR="002A1569">
        <w:t>4</w:t>
      </w:r>
      <w:r>
        <w:fldChar w:fldCharType="end"/>
      </w:r>
      <w:bookmarkEnd w:id="13"/>
      <w:r>
        <w:t xml:space="preserve">. Объем </w:t>
      </w:r>
      <w:r w:rsidR="00236EA6">
        <w:t>данных</w:t>
      </w:r>
      <w:r>
        <w:t>, скомпрометированных в результате утечек</w:t>
      </w:r>
      <w:r w:rsidR="00604735">
        <w:t>, совершенных внутренними нарушителями</w:t>
      </w:r>
      <w:r>
        <w:t xml:space="preserve">, </w:t>
      </w:r>
      <w:r w:rsidR="00505014">
        <w:t xml:space="preserve">млн записей, </w:t>
      </w:r>
      <w:r>
        <w:t>2013 - 2017 гг.</w:t>
      </w:r>
    </w:p>
    <w:p w14:paraId="28F9365F" w14:textId="77777777" w:rsidR="00604735" w:rsidRDefault="00604735" w:rsidP="001D5F0E"/>
    <w:p w14:paraId="7BA7A403" w14:textId="77777777" w:rsidR="00604735" w:rsidRDefault="00604735" w:rsidP="001D5F0E"/>
    <w:p w14:paraId="35EE7724" w14:textId="247AE071" w:rsidR="00666DD6" w:rsidRDefault="00EA2397" w:rsidP="001D5F0E">
      <w:r>
        <w:lastRenderedPageBreak/>
        <w:t xml:space="preserve">Приведенные цифры подтверждают, что </w:t>
      </w:r>
    </w:p>
    <w:p w14:paraId="5937457A" w14:textId="7BEA6FB3" w:rsidR="00AE28FD" w:rsidRPr="00666DD6" w:rsidRDefault="00EA2397" w:rsidP="00666DD6">
      <w:pPr>
        <w:jc w:val="center"/>
        <w:rPr>
          <w:b/>
          <w:i/>
        </w:rPr>
      </w:pPr>
      <w:r w:rsidRPr="00666DD6">
        <w:rPr>
          <w:b/>
          <w:i/>
        </w:rPr>
        <w:t>утечки</w:t>
      </w:r>
      <w:r w:rsidR="004C2E8A" w:rsidRPr="004C2E8A">
        <w:rPr>
          <w:b/>
          <w:i/>
        </w:rPr>
        <w:t xml:space="preserve">, </w:t>
      </w:r>
      <w:r w:rsidR="004C2E8A">
        <w:rPr>
          <w:b/>
          <w:i/>
        </w:rPr>
        <w:t>случившиеся в результате внутренних нарушений</w:t>
      </w:r>
      <w:r w:rsidR="004C2E8A" w:rsidRPr="004C2E8A">
        <w:rPr>
          <w:b/>
          <w:i/>
        </w:rPr>
        <w:t>,</w:t>
      </w:r>
      <w:r w:rsidRPr="00666DD6">
        <w:rPr>
          <w:b/>
          <w:i/>
        </w:rPr>
        <w:t xml:space="preserve"> </w:t>
      </w:r>
      <w:r w:rsidR="00725B63">
        <w:rPr>
          <w:b/>
          <w:i/>
        </w:rPr>
        <w:t xml:space="preserve">сегодня </w:t>
      </w:r>
      <w:r w:rsidR="00467553" w:rsidRPr="00666DD6">
        <w:rPr>
          <w:b/>
          <w:i/>
        </w:rPr>
        <w:t>ничуть не менее разрушительн</w:t>
      </w:r>
      <w:r w:rsidR="008445C6">
        <w:rPr>
          <w:b/>
          <w:i/>
        </w:rPr>
        <w:t>ы</w:t>
      </w:r>
      <w:r w:rsidR="00467553" w:rsidRPr="00666DD6">
        <w:rPr>
          <w:b/>
          <w:i/>
        </w:rPr>
        <w:t xml:space="preserve"> (в плане возможных негативных последствий для владельцев информации), </w:t>
      </w:r>
      <w:r w:rsidR="00D14FDB" w:rsidRPr="00666DD6">
        <w:rPr>
          <w:b/>
          <w:i/>
        </w:rPr>
        <w:t xml:space="preserve">чем </w:t>
      </w:r>
      <w:r w:rsidR="00D14FDB" w:rsidRPr="00F6467F">
        <w:rPr>
          <w:b/>
          <w:i/>
        </w:rPr>
        <w:t>утечки внешние</w:t>
      </w:r>
      <w:r w:rsidR="00D14FDB" w:rsidRPr="00666DD6">
        <w:rPr>
          <w:b/>
          <w:i/>
        </w:rPr>
        <w:t>.</w:t>
      </w:r>
    </w:p>
    <w:p w14:paraId="052E2DF2" w14:textId="2ACFA90F" w:rsidR="00D14FDB" w:rsidRDefault="00AE28FD" w:rsidP="001D5F0E">
      <w:r>
        <w:t>Р</w:t>
      </w:r>
      <w:r w:rsidR="0059457B">
        <w:t>анее эта мысль подкреплялась</w:t>
      </w:r>
      <w:r w:rsidR="00B34107">
        <w:t xml:space="preserve"> лишь</w:t>
      </w:r>
      <w:r w:rsidR="0059457B">
        <w:t xml:space="preserve"> практикой, </w:t>
      </w:r>
      <w:r w:rsidR="00246AAA">
        <w:t>и мы отмечали</w:t>
      </w:r>
      <w:r w:rsidR="00AB7AB9">
        <w:t xml:space="preserve">, что внутренний нарушитель может быть даже более опасен, чем </w:t>
      </w:r>
      <w:r w:rsidR="00B34107">
        <w:t xml:space="preserve">самый </w:t>
      </w:r>
      <w:r w:rsidR="00246AAA">
        <w:t>изощренный</w:t>
      </w:r>
      <w:r w:rsidR="00604735">
        <w:t xml:space="preserve"> </w:t>
      </w:r>
      <w:r w:rsidR="00B34107">
        <w:t xml:space="preserve">хакер, в силу </w:t>
      </w:r>
      <w:r w:rsidR="001527D9">
        <w:t>осведомленности о правилах хранения и обработки информации ограниченного доступа</w:t>
      </w:r>
      <w:r w:rsidR="00113877">
        <w:t xml:space="preserve"> в своей организации</w:t>
      </w:r>
      <w:r w:rsidR="001527D9">
        <w:t xml:space="preserve">, </w:t>
      </w:r>
      <w:r w:rsidR="00246AAA">
        <w:t>хорошем представлении о ценности тех или иных конфиденциальных данных</w:t>
      </w:r>
      <w:r>
        <w:t>.</w:t>
      </w:r>
      <w:r w:rsidR="001527D9">
        <w:t xml:space="preserve"> </w:t>
      </w:r>
    </w:p>
    <w:p w14:paraId="177A58CF" w14:textId="4BDB7D4D" w:rsidR="001176AA" w:rsidRDefault="001176AA" w:rsidP="001176AA">
      <w:r>
        <w:t xml:space="preserve">Теперь </w:t>
      </w:r>
      <w:r w:rsidR="003C0A42">
        <w:t>тезис</w:t>
      </w:r>
      <w:r>
        <w:t xml:space="preserve"> о сравнимом разрушительном эффекте действий внутреннего нарушителя и внешнего злоумышленника подтвержден наглядно — в 2017 году </w:t>
      </w:r>
      <w:r w:rsidR="00CD53E8">
        <w:t xml:space="preserve">в результате умышленных действий и </w:t>
      </w:r>
      <w:r>
        <w:t xml:space="preserve">неосторожности внутренних нарушителей скомпрометирован </w:t>
      </w:r>
      <w:r w:rsidR="006D5472">
        <w:t xml:space="preserve">лишь вдвое меньший </w:t>
      </w:r>
      <w:r>
        <w:t>объем данных, чем объем, скомпрометированный вследствие активности внешнего злоумышленника.</w:t>
      </w:r>
      <w:r w:rsidR="006D5472">
        <w:t xml:space="preserve"> Ранее (в 2014-2016 годах) эт</w:t>
      </w:r>
      <w:r w:rsidR="000D3EA6">
        <w:t>от</w:t>
      </w:r>
      <w:r w:rsidR="006D5472">
        <w:t xml:space="preserve"> показател</w:t>
      </w:r>
      <w:r w:rsidR="000D3EA6">
        <w:t xml:space="preserve">ь для </w:t>
      </w:r>
      <w:r w:rsidR="004C2E8A">
        <w:t xml:space="preserve">утечек </w:t>
      </w:r>
      <w:r w:rsidR="000D3EA6">
        <w:t>внешн</w:t>
      </w:r>
      <w:r w:rsidR="004C2E8A">
        <w:t>его</w:t>
      </w:r>
      <w:r w:rsidR="000D3EA6">
        <w:t xml:space="preserve"> и внутренн</w:t>
      </w:r>
      <w:r w:rsidR="004C2E8A">
        <w:t xml:space="preserve">его типа </w:t>
      </w:r>
      <w:r w:rsidR="000D3EA6">
        <w:t xml:space="preserve"> отличался на порядок в пользу внешних</w:t>
      </w:r>
      <w:r w:rsidR="006D5472">
        <w:t>.</w:t>
      </w:r>
    </w:p>
    <w:p w14:paraId="4BADBBC4" w14:textId="6A4EEC8C" w:rsidR="001176AA" w:rsidRDefault="001176AA" w:rsidP="001176AA">
      <w:r>
        <w:t>При этом следует помнит</w:t>
      </w:r>
      <w:r w:rsidR="00125A71">
        <w:t>ь, что</w:t>
      </w:r>
      <w:r>
        <w:t xml:space="preserve"> </w:t>
      </w:r>
      <w:r w:rsidR="00125A71">
        <w:t>в</w:t>
      </w:r>
      <w:r>
        <w:t xml:space="preserve"> случае с внешними утечками мы всегда говорим об умышленной компрометации данных, </w:t>
      </w:r>
      <w:r w:rsidR="004C4A3D">
        <w:t xml:space="preserve">то есть </w:t>
      </w:r>
      <w:r>
        <w:t xml:space="preserve">весь объем утекших данных </w:t>
      </w:r>
      <w:proofErr w:type="gramStart"/>
      <w:r w:rsidR="00A26269">
        <w:t>приходится</w:t>
      </w:r>
      <w:proofErr w:type="gramEnd"/>
      <w:r w:rsidR="00A26269">
        <w:t xml:space="preserve"> </w:t>
      </w:r>
      <w:r>
        <w:t>на злонамеренные утечки. Если же рассматривать утечки</w:t>
      </w:r>
      <w:r w:rsidR="004C2E8A" w:rsidRPr="004C2E8A">
        <w:t>,</w:t>
      </w:r>
      <w:r>
        <w:t xml:space="preserve"> </w:t>
      </w:r>
      <w:r w:rsidR="004C2E8A">
        <w:t xml:space="preserve"> произошедшие по вине внутреннего нарушителя</w:t>
      </w:r>
      <w:r>
        <w:t xml:space="preserve">, то здесь подавляющая часть (67-95% на горизонте 5 лет) объема </w:t>
      </w:r>
      <w:r w:rsidR="004C2E8A">
        <w:t xml:space="preserve">скомпрометированных </w:t>
      </w:r>
      <w:r>
        <w:t>данных приходится на случайные утечки. Т</w:t>
      </w:r>
      <w:r w:rsidR="004C4A3D">
        <w:t>о есть здесь речь идет об</w:t>
      </w:r>
      <w:r>
        <w:t xml:space="preserve"> ошибк</w:t>
      </w:r>
      <w:r w:rsidR="004C4A3D">
        <w:t>ах</w:t>
      </w:r>
      <w:r>
        <w:t xml:space="preserve"> персонала при пересылке почты, неверн</w:t>
      </w:r>
      <w:r w:rsidR="004C4A3D">
        <w:t>ой</w:t>
      </w:r>
      <w:r>
        <w:t xml:space="preserve"> конфигураци</w:t>
      </w:r>
      <w:r w:rsidR="004C4A3D">
        <w:t>и</w:t>
      </w:r>
      <w:r>
        <w:t xml:space="preserve"> баз данных, облачных хранилищ и проч</w:t>
      </w:r>
      <w:r w:rsidR="004C4A3D">
        <w:t>их инцидентах</w:t>
      </w:r>
      <w:r>
        <w:t xml:space="preserve">. </w:t>
      </w:r>
    </w:p>
    <w:p w14:paraId="4B706F81" w14:textId="4A55882D" w:rsidR="00DD35B3" w:rsidRDefault="00AC1C05" w:rsidP="00DD35B3">
      <w:pPr>
        <w:pStyle w:val="af6"/>
      </w:pPr>
      <w:hyperlink r:id="rId14" w:history="1">
        <w:r w:rsidR="00DD35B3" w:rsidRPr="00B50229">
          <w:rPr>
            <w:rStyle w:val="af1"/>
          </w:rPr>
          <w:t>calgaryherald.com</w:t>
        </w:r>
      </w:hyperlink>
      <w:r w:rsidR="00DD35B3">
        <w:t xml:space="preserve">: Утечка персональных данных более 3700 муниципальных служащих может дорого обойтись властям города Калгари. В коллективном иске пострадавшие требуют от работодателя компенсацию в размере 92,9 </w:t>
      </w:r>
      <w:proofErr w:type="gramStart"/>
      <w:r w:rsidR="00DD35B3">
        <w:t>млн</w:t>
      </w:r>
      <w:proofErr w:type="gramEnd"/>
      <w:r w:rsidR="00DD35B3">
        <w:t xml:space="preserve"> долл. США. Утечка произошла в июне 2017 г., когда один из сотрудников городского совета в ответ на просьбу своего коллеги из другого муниципалитета отправил письмо, содержащее медицинские сведения, номера местной системы социального страхования, адреса, даты рождения и данные о доходах</w:t>
      </w:r>
      <w:r w:rsidR="00717C53">
        <w:t xml:space="preserve"> жителей города</w:t>
      </w:r>
      <w:r w:rsidR="00DD35B3">
        <w:t>.</w:t>
      </w:r>
    </w:p>
    <w:p w14:paraId="063FF367" w14:textId="1003F957" w:rsidR="001176AA" w:rsidRDefault="001E37AC" w:rsidP="001D5F0E">
      <w:r>
        <w:t>Примечательно, что объем данных, скомпрометированных в результате случайных утечек</w:t>
      </w:r>
      <w:r w:rsidR="00DC72CB">
        <w:t xml:space="preserve"> внутреннего плана</w:t>
      </w:r>
      <w:r>
        <w:t>, увеличивается. При это</w:t>
      </w:r>
      <w:r w:rsidR="004C4A3D">
        <w:t>м</w:t>
      </w:r>
      <w:r>
        <w:t xml:space="preserve"> доля случайных утечек от всего числа внутренних </w:t>
      </w:r>
      <w:r w:rsidR="00DC72CB">
        <w:t xml:space="preserve">нарушений </w:t>
      </w:r>
      <w:r>
        <w:t xml:space="preserve">год от года уменьшается (к примеру, если в 2015 году </w:t>
      </w:r>
      <w:r w:rsidR="004C4A3D">
        <w:t xml:space="preserve">около 80% </w:t>
      </w:r>
      <w:r>
        <w:t>всех утечек</w:t>
      </w:r>
      <w:r w:rsidR="00DC72CB" w:rsidRPr="00DC72CB">
        <w:t xml:space="preserve">, </w:t>
      </w:r>
      <w:r w:rsidR="00DC72CB">
        <w:t>совершенных внутренним нарушителем</w:t>
      </w:r>
      <w:r w:rsidR="00DC72CB" w:rsidRPr="00DC72CB">
        <w:t>,</w:t>
      </w:r>
      <w:r>
        <w:t xml:space="preserve"> были случайными, то в 2017 году доля таких утечек не превышает </w:t>
      </w:r>
      <w:r w:rsidR="00DA6666">
        <w:t>6</w:t>
      </w:r>
      <w:r w:rsidR="00912727">
        <w:t>6</w:t>
      </w:r>
      <w:r>
        <w:t xml:space="preserve">% — см. </w:t>
      </w:r>
      <w:r>
        <w:fldChar w:fldCharType="begin"/>
      </w:r>
      <w:r>
        <w:instrText xml:space="preserve"> REF _Ref528077108 \h </w:instrText>
      </w:r>
      <w:r>
        <w:fldChar w:fldCharType="separate"/>
      </w:r>
      <w:r w:rsidR="002A1569">
        <w:t xml:space="preserve">Рисунок </w:t>
      </w:r>
      <w:r w:rsidR="002A1569">
        <w:rPr>
          <w:noProof/>
        </w:rPr>
        <w:t>5</w:t>
      </w:r>
      <w:r>
        <w:fldChar w:fldCharType="end"/>
      </w:r>
      <w:r>
        <w:t>).</w:t>
      </w:r>
    </w:p>
    <w:p w14:paraId="0DF8A52D" w14:textId="77777777" w:rsidR="00721CCC" w:rsidRDefault="00721CCC" w:rsidP="00721CCC">
      <w:pPr>
        <w:pStyle w:val="a1"/>
        <w:keepNext/>
      </w:pPr>
      <w:r>
        <w:rPr>
          <w:noProof/>
        </w:rPr>
        <w:lastRenderedPageBreak/>
        <w:drawing>
          <wp:inline distT="0" distB="0" distL="0" distR="0" wp14:anchorId="7C8DE1F9" wp14:editId="7A4FE144">
            <wp:extent cx="6191885" cy="2024365"/>
            <wp:effectExtent l="0" t="0" r="0" b="0"/>
            <wp:docPr id="32" name="Диаграмма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16E57A34" w14:textId="612E6088" w:rsidR="00721CCC" w:rsidRDefault="00721CCC" w:rsidP="00721CCC">
      <w:pPr>
        <w:pStyle w:val="afc"/>
      </w:pPr>
      <w:bookmarkStart w:id="14" w:name="_Ref528077108"/>
      <w:r>
        <w:t xml:space="preserve">Рисунок </w:t>
      </w:r>
      <w:r>
        <w:rPr>
          <w:noProof w:val="0"/>
        </w:rPr>
        <w:fldChar w:fldCharType="begin"/>
      </w:r>
      <w:r>
        <w:instrText xml:space="preserve"> SEQ Рисунок \* ARABIC </w:instrText>
      </w:r>
      <w:r>
        <w:rPr>
          <w:noProof w:val="0"/>
        </w:rPr>
        <w:fldChar w:fldCharType="separate"/>
      </w:r>
      <w:r w:rsidR="002A1569">
        <w:t>5</w:t>
      </w:r>
      <w:r>
        <w:fldChar w:fldCharType="end"/>
      </w:r>
      <w:bookmarkEnd w:id="14"/>
      <w:r>
        <w:t xml:space="preserve">. </w:t>
      </w:r>
      <w:r w:rsidR="00833EF6">
        <w:t>Ч</w:t>
      </w:r>
      <w:r>
        <w:t>исло</w:t>
      </w:r>
      <w:r w:rsidR="00604735">
        <w:t xml:space="preserve"> и</w:t>
      </w:r>
      <w:r>
        <w:t xml:space="preserve"> объем скомпрометированных данных</w:t>
      </w:r>
      <w:r w:rsidR="00833EF6">
        <w:t xml:space="preserve"> в процентах от совокупного числа </w:t>
      </w:r>
      <w:r w:rsidR="0024757C">
        <w:t xml:space="preserve">утечек </w:t>
      </w:r>
      <w:r w:rsidR="00DC72CB">
        <w:t xml:space="preserve">внутреннего характера </w:t>
      </w:r>
      <w:r w:rsidR="0024757C">
        <w:t>и совокупного объема данных, пришедшихся на утечки</w:t>
      </w:r>
      <w:r w:rsidR="00DC72CB" w:rsidRPr="00DC72CB">
        <w:t xml:space="preserve"> </w:t>
      </w:r>
      <w:r w:rsidR="00DC72CB">
        <w:t>внутреннего характера</w:t>
      </w:r>
      <w:r w:rsidR="00F6467F">
        <w:t xml:space="preserve">, </w:t>
      </w:r>
      <w:r>
        <w:t>2013 - 201</w:t>
      </w:r>
      <w:r w:rsidR="00E22486">
        <w:t>7</w:t>
      </w:r>
      <w:r>
        <w:t xml:space="preserve"> гг.</w:t>
      </w:r>
    </w:p>
    <w:p w14:paraId="2839E5BB" w14:textId="0F088910" w:rsidR="00912FFC" w:rsidRDefault="00B802FC" w:rsidP="001E37AC">
      <w:r>
        <w:t xml:space="preserve">Представляется очевидным, что именно </w:t>
      </w:r>
      <w:r w:rsidR="00397280">
        <w:t xml:space="preserve">случайные </w:t>
      </w:r>
      <w:r w:rsidR="00FD60ED">
        <w:t xml:space="preserve">внутренние </w:t>
      </w:r>
      <w:r w:rsidR="00397280">
        <w:t xml:space="preserve">утечки являются основным и наиболее разрушительным фактором, который </w:t>
      </w:r>
      <w:r w:rsidR="00FD60ED">
        <w:t>обусловливает</w:t>
      </w:r>
      <w:r w:rsidR="00397280">
        <w:t xml:space="preserve"> </w:t>
      </w:r>
      <w:r w:rsidR="00FD60ED">
        <w:t xml:space="preserve">ежегодный рост </w:t>
      </w:r>
      <w:r w:rsidR="00C6702F">
        <w:t xml:space="preserve">объема скомпрометированных данных. </w:t>
      </w:r>
    </w:p>
    <w:p w14:paraId="60EEA926" w14:textId="496EEBF6" w:rsidR="00085557" w:rsidRDefault="003A2A87" w:rsidP="001E37AC">
      <w:r>
        <w:t xml:space="preserve">Поскольку </w:t>
      </w:r>
      <w:r w:rsidR="00EB2F32">
        <w:t>сам объем вычисляется суммированием скомпрометированных записей (</w:t>
      </w:r>
      <w:r w:rsidR="00912FFC">
        <w:t>персональные данные владельцев и, как правило, персонифицированная платежная информация</w:t>
      </w:r>
      <w:r w:rsidR="00EB2F32">
        <w:t>)</w:t>
      </w:r>
      <w:r w:rsidR="008E4DD3">
        <w:t xml:space="preserve"> можно утверждать, что</w:t>
      </w:r>
      <w:r w:rsidR="00C4245A">
        <w:t>:</w:t>
      </w:r>
    </w:p>
    <w:p w14:paraId="43B7A591" w14:textId="3854CC68" w:rsidR="001E37AC" w:rsidRDefault="00F47C7A" w:rsidP="00085557">
      <w:pPr>
        <w:jc w:val="center"/>
        <w:rPr>
          <w:b/>
          <w:i/>
        </w:rPr>
      </w:pPr>
      <w:r>
        <w:rPr>
          <w:b/>
          <w:i/>
        </w:rPr>
        <w:t xml:space="preserve">практически </w:t>
      </w:r>
      <w:r w:rsidR="00633252" w:rsidRPr="00085557">
        <w:rPr>
          <w:b/>
          <w:i/>
        </w:rPr>
        <w:t xml:space="preserve">весь объем персональных данных, утекший </w:t>
      </w:r>
      <w:r w:rsidR="00934B56" w:rsidRPr="00085557">
        <w:rPr>
          <w:b/>
          <w:i/>
        </w:rPr>
        <w:t>в 2013-2017 годах</w:t>
      </w:r>
      <w:r w:rsidR="0013747D" w:rsidRPr="00085557">
        <w:rPr>
          <w:b/>
          <w:i/>
        </w:rPr>
        <w:t xml:space="preserve"> по вине внутреннего нарушителя</w:t>
      </w:r>
      <w:r w:rsidR="00CE7B52" w:rsidRPr="00085557">
        <w:rPr>
          <w:b/>
          <w:i/>
        </w:rPr>
        <w:t xml:space="preserve">, </w:t>
      </w:r>
      <w:r w:rsidR="00633252" w:rsidRPr="00085557">
        <w:rPr>
          <w:b/>
          <w:i/>
        </w:rPr>
        <w:t xml:space="preserve">был </w:t>
      </w:r>
      <w:r w:rsidR="003D38DA" w:rsidRPr="00085557">
        <w:rPr>
          <w:b/>
          <w:i/>
        </w:rPr>
        <w:t>скомпрометирован в результате</w:t>
      </w:r>
      <w:r w:rsidR="002F65EF" w:rsidRPr="00085557">
        <w:rPr>
          <w:b/>
          <w:i/>
        </w:rPr>
        <w:t xml:space="preserve"> небрежности либо грубой неосторожности</w:t>
      </w:r>
      <w:r w:rsidR="003D38DA" w:rsidRPr="00085557">
        <w:rPr>
          <w:b/>
          <w:i/>
        </w:rPr>
        <w:t xml:space="preserve"> </w:t>
      </w:r>
      <w:r w:rsidR="002F65EF" w:rsidRPr="00085557">
        <w:rPr>
          <w:b/>
          <w:i/>
        </w:rPr>
        <w:t>(</w:t>
      </w:r>
      <w:r w:rsidR="002B6247" w:rsidRPr="00085557">
        <w:rPr>
          <w:b/>
          <w:i/>
        </w:rPr>
        <w:t xml:space="preserve">ошибок, </w:t>
      </w:r>
      <w:r w:rsidR="00500D17" w:rsidRPr="00085557">
        <w:rPr>
          <w:b/>
          <w:i/>
        </w:rPr>
        <w:t xml:space="preserve">невнимательности, </w:t>
      </w:r>
      <w:r w:rsidR="003E6B76" w:rsidRPr="00085557">
        <w:rPr>
          <w:b/>
          <w:i/>
        </w:rPr>
        <w:t>несоблюдения регламент</w:t>
      </w:r>
      <w:r w:rsidR="00500D17" w:rsidRPr="00085557">
        <w:rPr>
          <w:b/>
          <w:i/>
        </w:rPr>
        <w:t>ов</w:t>
      </w:r>
      <w:r w:rsidR="002F65EF" w:rsidRPr="00085557">
        <w:rPr>
          <w:b/>
          <w:i/>
        </w:rPr>
        <w:t>)</w:t>
      </w:r>
      <w:r w:rsidR="003E6B76" w:rsidRPr="00085557">
        <w:rPr>
          <w:b/>
          <w:i/>
        </w:rPr>
        <w:t>.</w:t>
      </w:r>
    </w:p>
    <w:p w14:paraId="01C867BE" w14:textId="7CCFCD25" w:rsidR="00252FBB" w:rsidRDefault="00D237C4" w:rsidP="00252FBB">
      <w:r>
        <w:t xml:space="preserve">На практике это означает, что внутренний нарушитель, </w:t>
      </w:r>
      <w:r w:rsidR="00FE193F">
        <w:t xml:space="preserve">действуя </w:t>
      </w:r>
      <w:r w:rsidR="007B3A1C">
        <w:t xml:space="preserve">с умыслом, </w:t>
      </w:r>
      <w:r w:rsidR="006A6E37">
        <w:t xml:space="preserve">довольно </w:t>
      </w:r>
      <w:r w:rsidR="003228B7">
        <w:t xml:space="preserve">нечасто </w:t>
      </w:r>
      <w:r w:rsidR="00F944AD">
        <w:t xml:space="preserve">покушается на персональные данные. </w:t>
      </w:r>
      <w:r w:rsidR="003228B7">
        <w:t>К</w:t>
      </w:r>
      <w:r w:rsidR="00F944AD">
        <w:t xml:space="preserve">огда это все же происходит, объем </w:t>
      </w:r>
      <w:r w:rsidR="003356DA">
        <w:t>похищенной информации</w:t>
      </w:r>
      <w:r w:rsidR="003228B7" w:rsidRPr="003228B7">
        <w:t xml:space="preserve">, </w:t>
      </w:r>
      <w:r w:rsidR="003228B7">
        <w:t>как правило</w:t>
      </w:r>
      <w:r w:rsidR="003228B7" w:rsidRPr="003228B7">
        <w:t>,</w:t>
      </w:r>
      <w:r w:rsidR="003228B7">
        <w:t xml:space="preserve"> оказывается</w:t>
      </w:r>
      <w:r w:rsidR="00A26269">
        <w:t xml:space="preserve"> </w:t>
      </w:r>
      <w:r w:rsidR="00A37678">
        <w:t xml:space="preserve">сравнительно </w:t>
      </w:r>
      <w:r w:rsidR="003356DA">
        <w:t>небольшим</w:t>
      </w:r>
      <w:r w:rsidR="00A37678">
        <w:t xml:space="preserve"> — только действительно ликвидные сведения. Например, </w:t>
      </w:r>
      <w:r w:rsidR="003228B7">
        <w:t xml:space="preserve">недобросовестного менеджера интересуют данные </w:t>
      </w:r>
      <w:r w:rsidR="00A37678">
        <w:t xml:space="preserve">о клиентах банка, на которых можно оформить кредит, </w:t>
      </w:r>
      <w:r w:rsidR="003228B7">
        <w:t xml:space="preserve">сведения </w:t>
      </w:r>
      <w:r w:rsidR="000A1464">
        <w:t>о поставщиках и подрядчиках компании-работодателя, которы</w:t>
      </w:r>
      <w:r w:rsidR="003228B7">
        <w:t>е</w:t>
      </w:r>
      <w:r w:rsidR="000A1464">
        <w:t xml:space="preserve"> можно «забрать с собой» при переходе в конкурирующую организацию.</w:t>
      </w:r>
      <w:r w:rsidR="00E95DBD">
        <w:t xml:space="preserve"> </w:t>
      </w:r>
    </w:p>
    <w:p w14:paraId="6D1FFF1B" w14:textId="4AFDF61B" w:rsidR="00E95DBD" w:rsidRDefault="00AC1C05" w:rsidP="002C2570">
      <w:pPr>
        <w:pStyle w:val="affa"/>
      </w:pPr>
      <w:hyperlink r:id="rId16" w:history="1">
        <w:r w:rsidR="00E95DBD" w:rsidRPr="002C2570">
          <w:rPr>
            <w:rStyle w:val="af1"/>
          </w:rPr>
          <w:t>khaleejtimes.com</w:t>
        </w:r>
      </w:hyperlink>
      <w:r w:rsidR="00E95DBD">
        <w:t xml:space="preserve">: 28-летняя уроженка Индии работала руководителем отдела продаж в одном из банков ОАЭ. Пользуясь своим положением, она копировала из электронной системы данные о клиентах (имена, даты рождения, состояние счетов и номера банковских карт), а затем передавала полученную информацию своему земляку. От действий преступной группы пострадали более 2500 клиентов банка, злоумышленникам удалось похитить со счетов порядка </w:t>
      </w:r>
      <w:r w:rsidR="003228B7" w:rsidRPr="003228B7">
        <w:t>$</w:t>
      </w:r>
      <w:r w:rsidR="00E95DBD">
        <w:t>300 тыс.</w:t>
      </w:r>
    </w:p>
    <w:p w14:paraId="5CC95E3D" w14:textId="34312520" w:rsidR="00C33B46" w:rsidRDefault="00C33B46">
      <w:pPr>
        <w:suppressAutoHyphens w:val="0"/>
        <w:spacing w:before="0" w:after="0"/>
      </w:pPr>
      <w:r>
        <w:br w:type="page"/>
      </w:r>
    </w:p>
    <w:p w14:paraId="5C6A03BB" w14:textId="6EC8E1F9" w:rsidR="00C33B46" w:rsidRDefault="00C33B46" w:rsidP="00234411">
      <w:pPr>
        <w:pStyle w:val="2"/>
      </w:pPr>
      <w:r>
        <w:lastRenderedPageBreak/>
        <w:t xml:space="preserve">Доля персональных данных, скомпрометированных </w:t>
      </w:r>
      <w:r w:rsidR="00C07B95">
        <w:t>умышленно</w:t>
      </w:r>
      <w:r>
        <w:t>, снижается</w:t>
      </w:r>
    </w:p>
    <w:p w14:paraId="33BB0B3D" w14:textId="68CCFFC7" w:rsidR="00E4382E" w:rsidRDefault="00E4382E" w:rsidP="00234411">
      <w:r>
        <w:t>С</w:t>
      </w:r>
      <w:r w:rsidR="009720C8">
        <w:t xml:space="preserve">ледует отметить две </w:t>
      </w:r>
      <w:r w:rsidR="00CA4ACB">
        <w:t>показательные закономерности: д</w:t>
      </w:r>
      <w:r w:rsidR="001B0E2C">
        <w:t>оля</w:t>
      </w:r>
      <w:r w:rsidR="00CB36D7">
        <w:t xml:space="preserve"> умышленны</w:t>
      </w:r>
      <w:r w:rsidR="001B0E2C">
        <w:t>х</w:t>
      </w:r>
      <w:r w:rsidR="00CB36D7">
        <w:t xml:space="preserve"> утеч</w:t>
      </w:r>
      <w:r w:rsidR="001B0E2C">
        <w:t>е</w:t>
      </w:r>
      <w:r w:rsidR="00CB36D7">
        <w:t xml:space="preserve">к персональных данных </w:t>
      </w:r>
      <w:r w:rsidR="0021454A">
        <w:t xml:space="preserve">в 2013-2017 годах </w:t>
      </w:r>
      <w:r w:rsidR="009720C8">
        <w:t>снижается</w:t>
      </w:r>
      <w:r w:rsidR="00C81E0D">
        <w:t xml:space="preserve">, при этом неуклонно растет доля умышленных утечек других типов данных: информации, составляющей коммерческую и государственную тайну, </w:t>
      </w:r>
      <w:r w:rsidR="004D3421">
        <w:t xml:space="preserve">а также </w:t>
      </w:r>
      <w:r w:rsidR="00685ECC">
        <w:t>секрет</w:t>
      </w:r>
      <w:r w:rsidR="004D3421">
        <w:t>ов</w:t>
      </w:r>
      <w:r w:rsidR="00685ECC">
        <w:t xml:space="preserve"> производства и ноу</w:t>
      </w:r>
      <w:r w:rsidR="00CF5392">
        <w:t>-хау</w:t>
      </w:r>
      <w:r w:rsidR="007B25B2">
        <w:t xml:space="preserve"> (см. </w:t>
      </w:r>
      <w:r w:rsidR="000E223F">
        <w:fldChar w:fldCharType="begin"/>
      </w:r>
      <w:r w:rsidR="000E223F">
        <w:instrText xml:space="preserve"> REF _Ref528103286 \h </w:instrText>
      </w:r>
      <w:r w:rsidR="000E223F">
        <w:fldChar w:fldCharType="separate"/>
      </w:r>
      <w:r w:rsidR="000E223F">
        <w:t xml:space="preserve">Рисунок </w:t>
      </w:r>
      <w:r w:rsidR="000E223F">
        <w:rPr>
          <w:noProof/>
        </w:rPr>
        <w:t>6</w:t>
      </w:r>
      <w:r w:rsidR="000E223F">
        <w:fldChar w:fldCharType="end"/>
      </w:r>
      <w:r w:rsidR="007B25B2">
        <w:t>)</w:t>
      </w:r>
      <w:r w:rsidR="00CF5392">
        <w:t>.</w:t>
      </w:r>
    </w:p>
    <w:p w14:paraId="65E0ABDB" w14:textId="77777777" w:rsidR="0006746D" w:rsidRDefault="0006746D" w:rsidP="0006746D">
      <w:r w:rsidRPr="00715FF9">
        <w:rPr>
          <w:noProof/>
          <w:color w:val="4F81BD" w:themeColor="accent1"/>
        </w:rPr>
        <w:drawing>
          <wp:inline distT="0" distB="0" distL="0" distR="0" wp14:anchorId="33B77159" wp14:editId="1244CC41">
            <wp:extent cx="6152083" cy="1550822"/>
            <wp:effectExtent l="0" t="0" r="1270" b="0"/>
            <wp:docPr id="52" name="Диаграмма 52" title="Умышленные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 w:rsidRPr="00715FF9">
        <w:rPr>
          <w:noProof/>
          <w:color w:val="4F81BD" w:themeColor="accent1"/>
        </w:rPr>
        <w:drawing>
          <wp:inline distT="0" distB="0" distL="0" distR="0" wp14:anchorId="2C85312E" wp14:editId="114F3751">
            <wp:extent cx="6152083" cy="2114092"/>
            <wp:effectExtent l="0" t="0" r="1270" b="635"/>
            <wp:docPr id="54" name="Диаграмма 5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772DD0FD" w14:textId="142282A4" w:rsidR="0006746D" w:rsidRDefault="0006746D" w:rsidP="0006746D">
      <w:pPr>
        <w:pStyle w:val="afc"/>
      </w:pPr>
      <w:bookmarkStart w:id="15" w:name="_Ref467153292"/>
      <w:r>
        <w:t xml:space="preserve">Рисунок </w:t>
      </w:r>
      <w:r>
        <w:rPr>
          <w:noProof w:val="0"/>
        </w:rPr>
        <w:fldChar w:fldCharType="begin"/>
      </w:r>
      <w:r>
        <w:instrText xml:space="preserve"> SEQ Рисунок \* ARABIC </w:instrText>
      </w:r>
      <w:r>
        <w:rPr>
          <w:noProof w:val="0"/>
        </w:rPr>
        <w:fldChar w:fldCharType="separate"/>
      </w:r>
      <w:r w:rsidR="00D84C04">
        <w:t>6</w:t>
      </w:r>
      <w:r>
        <w:fldChar w:fldCharType="end"/>
      </w:r>
      <w:bookmarkEnd w:id="15"/>
      <w:r>
        <w:t>. Распределение утечек по умыслу и типу данных, 20</w:t>
      </w:r>
      <w:r w:rsidRPr="005843E9">
        <w:t>13</w:t>
      </w:r>
      <w:r>
        <w:t xml:space="preserve"> –</w:t>
      </w:r>
      <w:r w:rsidRPr="00EC5384">
        <w:t xml:space="preserve"> </w:t>
      </w:r>
      <w:r>
        <w:t>2017 гг</w:t>
      </w:r>
      <w:r w:rsidRPr="003C521B">
        <w:t>.</w:t>
      </w:r>
    </w:p>
    <w:p w14:paraId="69CFD9BA" w14:textId="5571B8F5" w:rsidR="0006746D" w:rsidRDefault="00E66FE7" w:rsidP="00252FBB">
      <w:r>
        <w:t>В</w:t>
      </w:r>
      <w:r w:rsidR="00EB44C4">
        <w:t xml:space="preserve"> количественном измерении умышленных утечек персональных данных не становится меньше — если в 2014 году мы зафиксировали 175 таких утечек, то в 2017 году </w:t>
      </w:r>
      <w:r w:rsidR="00666905">
        <w:t xml:space="preserve">их было </w:t>
      </w:r>
      <w:r w:rsidR="00EB44C4">
        <w:t>194. То</w:t>
      </w:r>
      <w:r w:rsidR="00666905">
        <w:t>т</w:t>
      </w:r>
      <w:r w:rsidR="00EB44C4">
        <w:t xml:space="preserve"> же</w:t>
      </w:r>
      <w:r w:rsidR="00666905">
        <w:t xml:space="preserve"> тезис</w:t>
      </w:r>
      <w:r w:rsidR="00EB44C4">
        <w:t xml:space="preserve"> </w:t>
      </w:r>
      <w:r w:rsidR="00666905">
        <w:t xml:space="preserve">относится к </w:t>
      </w:r>
      <w:r w:rsidR="00EB44C4">
        <w:t>случайны</w:t>
      </w:r>
      <w:r w:rsidR="00666905">
        <w:t>м</w:t>
      </w:r>
      <w:r w:rsidR="00EB44C4">
        <w:t xml:space="preserve"> утеч</w:t>
      </w:r>
      <w:r w:rsidR="00666905">
        <w:t>кам</w:t>
      </w:r>
      <w:r w:rsidR="00EB44C4">
        <w:t>, например, информации, составляющей государственную тайну</w:t>
      </w:r>
      <w:r w:rsidR="00666905" w:rsidRPr="009141CF">
        <w:t>,</w:t>
      </w:r>
      <w:r w:rsidR="00B54236">
        <w:t xml:space="preserve"> — </w:t>
      </w:r>
      <w:r w:rsidR="0082464C">
        <w:t>их число также не уменьшается.</w:t>
      </w:r>
      <w:r w:rsidR="00776393">
        <w:t xml:space="preserve"> </w:t>
      </w:r>
      <w:r w:rsidR="007B0FCE">
        <w:t>Происходит п</w:t>
      </w:r>
      <w:r w:rsidR="00BE0C11">
        <w:t>ерераспределение долей умышленных и случайных утечек</w:t>
      </w:r>
      <w:r w:rsidR="007B0FCE">
        <w:t>, причем за</w:t>
      </w:r>
      <w:r w:rsidR="00E32367">
        <w:t xml:space="preserve"> счет двух факторов — </w:t>
      </w:r>
      <w:r w:rsidR="00573CB2">
        <w:t xml:space="preserve">это рост </w:t>
      </w:r>
      <w:r w:rsidR="00E32367">
        <w:t>активности внутренних злоумышленников, нацеленных на конкретный тип данных</w:t>
      </w:r>
      <w:r w:rsidR="00666905" w:rsidRPr="00666905">
        <w:t>,</w:t>
      </w:r>
      <w:r w:rsidR="00E32367">
        <w:t xml:space="preserve"> и </w:t>
      </w:r>
      <w:r w:rsidR="00573CB2">
        <w:t xml:space="preserve">увеличение </w:t>
      </w:r>
      <w:r w:rsidR="00E32367">
        <w:t>возможностей систем защиты от утечек</w:t>
      </w:r>
      <w:r w:rsidR="00520DDD">
        <w:t>.</w:t>
      </w:r>
    </w:p>
    <w:p w14:paraId="1474B680" w14:textId="1B7D7067" w:rsidR="00520DDD" w:rsidRPr="00130A99" w:rsidRDefault="000E223F" w:rsidP="00130A99">
      <w:pPr>
        <w:jc w:val="center"/>
        <w:rPr>
          <w:b/>
          <w:i/>
        </w:rPr>
      </w:pPr>
      <w:r>
        <w:rPr>
          <w:b/>
          <w:i/>
        </w:rPr>
        <w:t>З</w:t>
      </w:r>
      <w:r w:rsidRPr="00130A99">
        <w:rPr>
          <w:b/>
          <w:i/>
        </w:rPr>
        <w:t xml:space="preserve">лоумышленники </w:t>
      </w:r>
      <w:r w:rsidR="006209D3" w:rsidRPr="00130A99">
        <w:rPr>
          <w:b/>
          <w:i/>
        </w:rPr>
        <w:t xml:space="preserve">все больше интересуются наиболее ликвидными типами </w:t>
      </w:r>
      <w:r w:rsidR="00B565F9" w:rsidRPr="00130A99">
        <w:rPr>
          <w:b/>
          <w:i/>
        </w:rPr>
        <w:t>данных</w:t>
      </w:r>
      <w:r w:rsidR="006209D3" w:rsidRPr="00130A99">
        <w:rPr>
          <w:b/>
          <w:i/>
        </w:rPr>
        <w:t xml:space="preserve"> — </w:t>
      </w:r>
      <w:r w:rsidR="00B565F9" w:rsidRPr="00130A99">
        <w:rPr>
          <w:b/>
          <w:i/>
        </w:rPr>
        <w:t xml:space="preserve">за счет этого растет доля зафиксированных </w:t>
      </w:r>
      <w:r w:rsidR="00FE45ED">
        <w:rPr>
          <w:b/>
          <w:i/>
        </w:rPr>
        <w:t xml:space="preserve">умышленных </w:t>
      </w:r>
      <w:r w:rsidR="00B565F9" w:rsidRPr="00130A99">
        <w:rPr>
          <w:b/>
          <w:i/>
        </w:rPr>
        <w:t xml:space="preserve">утечек информации, составляющей государственную и коммерческую тайну. </w:t>
      </w:r>
      <w:r w:rsidR="00170E5B" w:rsidRPr="00130A99">
        <w:rPr>
          <w:b/>
          <w:i/>
        </w:rPr>
        <w:t>При этом действия злоумышленников все чаще фиксируются системами защиты, становятся достоянием общественности и, в итоге, попадают в нашу статистику.</w:t>
      </w:r>
    </w:p>
    <w:p w14:paraId="2002DA74" w14:textId="364DE39B" w:rsidR="00247163" w:rsidRPr="00666DD6" w:rsidRDefault="00130A99" w:rsidP="00247163">
      <w:r>
        <w:t xml:space="preserve">Эти две тенденции неплохо иллюстрирует общее распределение внутренних утечек по типам данных (см. </w:t>
      </w:r>
      <w:r>
        <w:fldChar w:fldCharType="begin"/>
      </w:r>
      <w:r>
        <w:instrText xml:space="preserve"> REF _Ref528103286 \h </w:instrText>
      </w:r>
      <w:r>
        <w:fldChar w:fldCharType="separate"/>
      </w:r>
      <w:r>
        <w:t xml:space="preserve">Рисунок </w:t>
      </w:r>
      <w:r>
        <w:fldChar w:fldCharType="end"/>
      </w:r>
      <w:r w:rsidR="000E223F">
        <w:t>7</w:t>
      </w:r>
      <w:r>
        <w:t xml:space="preserve">). На диаграмме видно, что доля утечек персональных </w:t>
      </w:r>
      <w:r>
        <w:lastRenderedPageBreak/>
        <w:t>данных сокращается за счет роста утечек других типов данных</w:t>
      </w:r>
      <w:r w:rsidR="00DD018D">
        <w:t>, в основном информации, составляющей коммерческую тайну.</w:t>
      </w:r>
    </w:p>
    <w:p w14:paraId="13FEC841" w14:textId="77777777" w:rsidR="00247163" w:rsidRDefault="00247163" w:rsidP="00247163">
      <w:r w:rsidRPr="00715FF9">
        <w:rPr>
          <w:noProof/>
          <w:color w:val="4F81BD" w:themeColor="accent1"/>
        </w:rPr>
        <w:drawing>
          <wp:inline distT="0" distB="0" distL="0" distR="0" wp14:anchorId="4D067523" wp14:editId="4C319A41">
            <wp:extent cx="6151880" cy="451107"/>
            <wp:effectExtent l="0" t="0" r="1270" b="6350"/>
            <wp:docPr id="47" name="Диаграмма 4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  <w:r w:rsidRPr="00715FF9">
        <w:rPr>
          <w:noProof/>
          <w:color w:val="4F81BD" w:themeColor="accent1"/>
        </w:rPr>
        <w:drawing>
          <wp:inline distT="0" distB="0" distL="0" distR="0" wp14:anchorId="2D17775C" wp14:editId="1428DE40">
            <wp:extent cx="6151880" cy="2089231"/>
            <wp:effectExtent l="0" t="0" r="1270" b="6350"/>
            <wp:docPr id="48" name="Диаграмма 4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30552202" w14:textId="5263A2A5" w:rsidR="00247163" w:rsidRDefault="00247163" w:rsidP="00247163">
      <w:pPr>
        <w:pStyle w:val="afc"/>
      </w:pPr>
      <w:bookmarkStart w:id="16" w:name="_Ref528103286"/>
      <w:r>
        <w:t xml:space="preserve">Рисунок </w:t>
      </w:r>
      <w:r>
        <w:rPr>
          <w:noProof w:val="0"/>
        </w:rPr>
        <w:fldChar w:fldCharType="begin"/>
      </w:r>
      <w:r>
        <w:instrText xml:space="preserve"> SEQ Рисунок \* ARABIC </w:instrText>
      </w:r>
      <w:r>
        <w:rPr>
          <w:noProof w:val="0"/>
        </w:rPr>
        <w:fldChar w:fldCharType="separate"/>
      </w:r>
      <w:r w:rsidR="000612C9">
        <w:t>7</w:t>
      </w:r>
      <w:r>
        <w:fldChar w:fldCharType="end"/>
      </w:r>
      <w:bookmarkEnd w:id="16"/>
      <w:r>
        <w:t>. Распределение «внутренних» утечек по типу данных, 20</w:t>
      </w:r>
      <w:r w:rsidRPr="005843E9">
        <w:t>13</w:t>
      </w:r>
      <w:r>
        <w:t xml:space="preserve"> –</w:t>
      </w:r>
      <w:r w:rsidRPr="00EC5384">
        <w:t xml:space="preserve"> </w:t>
      </w:r>
      <w:r>
        <w:t>201</w:t>
      </w:r>
      <w:r w:rsidR="002A4486">
        <w:t>7</w:t>
      </w:r>
      <w:r>
        <w:t xml:space="preserve"> гг</w:t>
      </w:r>
      <w:r w:rsidRPr="003C521B">
        <w:t>.</w:t>
      </w:r>
    </w:p>
    <w:p w14:paraId="4A00D8EB" w14:textId="2FAB65D5" w:rsidR="00BA2DB7" w:rsidRDefault="003C2704" w:rsidP="00247163">
      <w:r>
        <w:t>Вместе с тем, персональные данные остаются основным типом информации</w:t>
      </w:r>
      <w:r w:rsidR="00D26CB3">
        <w:t xml:space="preserve">, который подвергается компрометации. </w:t>
      </w:r>
      <w:r w:rsidR="00006F4D">
        <w:t xml:space="preserve">Поэтому имеет смысл рассмотреть распределение утечек персональных данных </w:t>
      </w:r>
      <w:r w:rsidR="00C759FE">
        <w:t>применительно к отраслевому разрезу</w:t>
      </w:r>
      <w:r w:rsidR="00BA2DB7">
        <w:t>.</w:t>
      </w:r>
    </w:p>
    <w:p w14:paraId="5DB6DE0E" w14:textId="795EDDE6" w:rsidR="00247163" w:rsidRDefault="00BA2DB7" w:rsidP="00247163">
      <w:r>
        <w:t xml:space="preserve">На </w:t>
      </w:r>
      <w:r w:rsidR="000C35BB">
        <w:t>диаграмме</w:t>
      </w:r>
      <w:r>
        <w:t xml:space="preserve"> распределения случайных утечек персональных данных</w:t>
      </w:r>
      <w:r w:rsidR="00666905" w:rsidRPr="00666905">
        <w:t xml:space="preserve"> </w:t>
      </w:r>
      <w:r w:rsidR="00666905">
        <w:t>заметно</w:t>
      </w:r>
      <w:r>
        <w:t xml:space="preserve">, что </w:t>
      </w:r>
      <w:r w:rsidR="0036687C">
        <w:t>число</w:t>
      </w:r>
      <w:r w:rsidR="00B35AC0">
        <w:t xml:space="preserve"> случайных утечек </w:t>
      </w:r>
      <w:proofErr w:type="spellStart"/>
      <w:r w:rsidR="00B35AC0">
        <w:t>ПДн</w:t>
      </w:r>
      <w:proofErr w:type="spellEnd"/>
      <w:r w:rsidR="00B35AC0">
        <w:t xml:space="preserve">, </w:t>
      </w:r>
      <w:r w:rsidR="00666905">
        <w:t xml:space="preserve">приходящихся </w:t>
      </w:r>
      <w:r w:rsidR="00B35AC0">
        <w:t xml:space="preserve">на </w:t>
      </w:r>
      <w:r w:rsidR="00562805">
        <w:t>учреждения медицины и образования, на протяжении 2014-2017 годов неуклонно снижа</w:t>
      </w:r>
      <w:r w:rsidR="00666905">
        <w:t>лось</w:t>
      </w:r>
      <w:r w:rsidR="001F4FA6">
        <w:t xml:space="preserve"> </w:t>
      </w:r>
      <w:r w:rsidR="00D40888">
        <w:t xml:space="preserve">(см. </w:t>
      </w:r>
      <w:r w:rsidR="00D40888">
        <w:fldChar w:fldCharType="begin"/>
      </w:r>
      <w:r w:rsidR="00D40888">
        <w:instrText xml:space="preserve"> REF _Ref528152718 \h </w:instrText>
      </w:r>
      <w:r w:rsidR="00D40888">
        <w:fldChar w:fldCharType="separate"/>
      </w:r>
      <w:r w:rsidR="00D40888">
        <w:t xml:space="preserve">Рисунок </w:t>
      </w:r>
      <w:r w:rsidR="00D40888">
        <w:rPr>
          <w:noProof/>
        </w:rPr>
        <w:t>8</w:t>
      </w:r>
      <w:r w:rsidR="00D40888">
        <w:fldChar w:fldCharType="end"/>
      </w:r>
      <w:r w:rsidR="00D40888">
        <w:t>)</w:t>
      </w:r>
      <w:r w:rsidR="001F4FA6">
        <w:t>.</w:t>
      </w:r>
      <w:r>
        <w:t xml:space="preserve"> </w:t>
      </w:r>
    </w:p>
    <w:p w14:paraId="5D41FC4C" w14:textId="77777777" w:rsidR="009308F3" w:rsidRDefault="009308F3" w:rsidP="009308F3">
      <w:r w:rsidRPr="00715FF9">
        <w:rPr>
          <w:noProof/>
          <w:color w:val="4F81BD" w:themeColor="accent1"/>
        </w:rPr>
        <w:drawing>
          <wp:inline distT="0" distB="0" distL="0" distR="0" wp14:anchorId="03A0A6BE" wp14:editId="3B527BDC">
            <wp:extent cx="6151880" cy="1720795"/>
            <wp:effectExtent l="0" t="0" r="1270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4778E2C6" w14:textId="260D5977" w:rsidR="009308F3" w:rsidRDefault="009308F3" w:rsidP="009308F3">
      <w:pPr>
        <w:pStyle w:val="afc"/>
      </w:pPr>
      <w:bookmarkStart w:id="17" w:name="_Ref528152718"/>
      <w:r>
        <w:t xml:space="preserve">Рисунок </w:t>
      </w:r>
      <w:r>
        <w:rPr>
          <w:noProof w:val="0"/>
        </w:rPr>
        <w:fldChar w:fldCharType="begin"/>
      </w:r>
      <w:r>
        <w:instrText xml:space="preserve"> SEQ Рисунок \* ARABIC </w:instrText>
      </w:r>
      <w:r>
        <w:rPr>
          <w:noProof w:val="0"/>
        </w:rPr>
        <w:fldChar w:fldCharType="separate"/>
      </w:r>
      <w:r w:rsidR="00D40888">
        <w:t>8</w:t>
      </w:r>
      <w:r>
        <w:fldChar w:fldCharType="end"/>
      </w:r>
      <w:bookmarkEnd w:id="17"/>
      <w:r>
        <w:t xml:space="preserve">. Распределение </w:t>
      </w:r>
      <w:r w:rsidR="007C0D94">
        <w:t>случайных утечек ПДн по отраслям</w:t>
      </w:r>
      <w:r>
        <w:t>, 20</w:t>
      </w:r>
      <w:r w:rsidRPr="005843E9">
        <w:t>13</w:t>
      </w:r>
      <w:r>
        <w:t xml:space="preserve"> –</w:t>
      </w:r>
      <w:r w:rsidRPr="00EC5384">
        <w:t xml:space="preserve"> </w:t>
      </w:r>
      <w:r>
        <w:t>201</w:t>
      </w:r>
      <w:r w:rsidR="00CE23F5">
        <w:t>7</w:t>
      </w:r>
      <w:r>
        <w:t xml:space="preserve"> гг</w:t>
      </w:r>
      <w:r w:rsidRPr="003C521B">
        <w:t>.</w:t>
      </w:r>
    </w:p>
    <w:p w14:paraId="0C443E08" w14:textId="46F7B408" w:rsidR="00360623" w:rsidRDefault="00FB6170" w:rsidP="00723755">
      <w:r>
        <w:t xml:space="preserve">Медучреждения остаются </w:t>
      </w:r>
      <w:r w:rsidR="00670763">
        <w:t>при этом основным источником персональных данных и иных сведений о субъектах</w:t>
      </w:r>
      <w:r w:rsidR="00666905" w:rsidRPr="00666905">
        <w:t xml:space="preserve">. </w:t>
      </w:r>
      <w:r w:rsidR="00666905">
        <w:t>П</w:t>
      </w:r>
      <w:r w:rsidR="0081193D">
        <w:t>редположительно</w:t>
      </w:r>
      <w:r w:rsidR="00A11498">
        <w:t xml:space="preserve"> </w:t>
      </w:r>
      <w:r w:rsidR="00666905">
        <w:t xml:space="preserve">это связано с </w:t>
      </w:r>
      <w:r w:rsidR="00A11498">
        <w:t>относительно высокой ликвидност</w:t>
      </w:r>
      <w:r w:rsidR="00666905">
        <w:t>ью</w:t>
      </w:r>
      <w:r w:rsidR="004D3421">
        <w:t xml:space="preserve"> </w:t>
      </w:r>
      <w:r w:rsidR="00A11498">
        <w:t xml:space="preserve">данных, обрабатываемых в медучреждениях, а также </w:t>
      </w:r>
      <w:r w:rsidR="00666905">
        <w:t>с</w:t>
      </w:r>
      <w:r w:rsidR="00A11498">
        <w:t xml:space="preserve"> недостаточно надежной защит</w:t>
      </w:r>
      <w:r w:rsidR="00666905">
        <w:t>ой</w:t>
      </w:r>
      <w:r w:rsidR="00A11498">
        <w:t xml:space="preserve"> этих данных.</w:t>
      </w:r>
    </w:p>
    <w:p w14:paraId="77166D95" w14:textId="68303551" w:rsidR="00360623" w:rsidRDefault="00AC1C05" w:rsidP="00360623">
      <w:pPr>
        <w:pStyle w:val="af6"/>
      </w:pPr>
      <w:hyperlink r:id="rId22" w:history="1">
        <w:r w:rsidR="00360623" w:rsidRPr="00B50229">
          <w:rPr>
            <w:rStyle w:val="af1"/>
          </w:rPr>
          <w:t>sixthtone.com</w:t>
        </w:r>
      </w:hyperlink>
      <w:r w:rsidR="00360623">
        <w:t xml:space="preserve">: Полиция Восточного Китая арестовала 39 человек, подозреваемых в незаконном получении и продаже личной информации более 3,7 миллионов граждан. Члены группировки участвовали в сборе больших объемов информации в Центре контроля и профилактики заболеваний (округ </w:t>
      </w:r>
      <w:proofErr w:type="spellStart"/>
      <w:r w:rsidR="00360623">
        <w:lastRenderedPageBreak/>
        <w:t>Г</w:t>
      </w:r>
      <w:r w:rsidR="00DA2DC0">
        <w:t>у</w:t>
      </w:r>
      <w:r w:rsidR="00360623">
        <w:t>аньчжоу</w:t>
      </w:r>
      <w:proofErr w:type="spellEnd"/>
      <w:r w:rsidR="00360623">
        <w:t>). Известно, что часть персональных данных относилась к детям, подлежащим вакцинации. За каждую запись покупатели платили по 10 центов.</w:t>
      </w:r>
    </w:p>
    <w:p w14:paraId="284BB6CC" w14:textId="41F25B47" w:rsidR="00071C70" w:rsidRDefault="0091719E" w:rsidP="00723755">
      <w:r>
        <w:t xml:space="preserve">Вместе с тем растет </w:t>
      </w:r>
      <w:r w:rsidR="002F3CE0">
        <w:t>число</w:t>
      </w:r>
      <w:r>
        <w:t xml:space="preserve"> </w:t>
      </w:r>
      <w:r w:rsidR="0080604B">
        <w:t xml:space="preserve">зафиксированных </w:t>
      </w:r>
      <w:r>
        <w:t>случайных утечек в иных отраслях</w:t>
      </w:r>
      <w:r w:rsidR="0080604B">
        <w:t xml:space="preserve">, в том числе в </w:t>
      </w:r>
      <w:r w:rsidR="00F3789B">
        <w:t>государственных и муниципальных органах</w:t>
      </w:r>
      <w:r w:rsidR="000E67F5" w:rsidRPr="000E67F5">
        <w:t xml:space="preserve">, </w:t>
      </w:r>
      <w:r w:rsidR="000E67F5">
        <w:t>где направление информационной безопасности зачастую совершенствуется довольно медленно</w:t>
      </w:r>
      <w:r w:rsidR="00F3789B">
        <w:t>.</w:t>
      </w:r>
    </w:p>
    <w:p w14:paraId="22A5A483" w14:textId="486F19A0" w:rsidR="00674C8E" w:rsidRDefault="00AC1C05" w:rsidP="00674C8E">
      <w:pPr>
        <w:pStyle w:val="af6"/>
      </w:pPr>
      <w:hyperlink r:id="rId23" w:history="1">
        <w:r w:rsidR="00674C8E" w:rsidRPr="00B50229">
          <w:rPr>
            <w:rStyle w:val="af1"/>
          </w:rPr>
          <w:t>standard.co.uk</w:t>
        </w:r>
      </w:hyperlink>
      <w:r w:rsidR="00674C8E">
        <w:t xml:space="preserve">: Совет округа </w:t>
      </w:r>
      <w:proofErr w:type="spellStart"/>
      <w:r w:rsidR="00674C8E">
        <w:t>Ислингтон</w:t>
      </w:r>
      <w:proofErr w:type="spellEnd"/>
      <w:r w:rsidR="00674C8E">
        <w:t>, что на севере Лондона, признан виновным в нарушении защиты информации почти 90 тыс. человек. Чиновники не обеспечили безопасность транспортного приложения и теперь должны будут заплатить 56 тыс. фунтов. Транспортное приложение аккумулировало различную информацию, включая данные об автомобиле, имя и адрес водителя, а также медицинские и финансовые сведения. К этим данным мог получить доступ любой желающий, скорректировав адрес в строке браузера.</w:t>
      </w:r>
    </w:p>
    <w:p w14:paraId="24FE340A" w14:textId="7BD887A5" w:rsidR="009145D5" w:rsidRDefault="00C379A6" w:rsidP="00723755">
      <w:r>
        <w:t>Вероятно</w:t>
      </w:r>
      <w:r w:rsidR="0080604B">
        <w:t xml:space="preserve">, такое изменение связано не только с возросшим количеством утечек в сегментах, отличных от медицины и образования, но и с ростом уровня защищенности персональных данных в целом. </w:t>
      </w:r>
      <w:r w:rsidR="006C0202">
        <w:t xml:space="preserve">Известно, что </w:t>
      </w:r>
      <w:r w:rsidR="00C8282C">
        <w:t>системы</w:t>
      </w:r>
      <w:r w:rsidR="006C0202">
        <w:t xml:space="preserve"> защиты от утечек (особенно в случае формализуемых и простых для распознавания типов данных, к которым относятся </w:t>
      </w:r>
      <w:proofErr w:type="spellStart"/>
      <w:r w:rsidR="006C0202">
        <w:t>ПДн</w:t>
      </w:r>
      <w:proofErr w:type="spellEnd"/>
      <w:r w:rsidR="006C0202">
        <w:t>)</w:t>
      </w:r>
      <w:r w:rsidR="00517FD3">
        <w:t xml:space="preserve"> </w:t>
      </w:r>
      <w:r w:rsidR="00C8282C">
        <w:t xml:space="preserve">сравнительно </w:t>
      </w:r>
      <w:r w:rsidR="00071C70">
        <w:t xml:space="preserve">неплохо справляются </w:t>
      </w:r>
      <w:r w:rsidR="00DA16D9">
        <w:t>со своей задачей. Поэтому нельзя исключать, что</w:t>
      </w:r>
    </w:p>
    <w:p w14:paraId="6ADF1B8F" w14:textId="67ABD97B" w:rsidR="00517FD3" w:rsidRPr="009145D5" w:rsidRDefault="00967AAF" w:rsidP="009145D5">
      <w:pPr>
        <w:jc w:val="center"/>
        <w:rPr>
          <w:b/>
          <w:i/>
        </w:rPr>
      </w:pPr>
      <w:r w:rsidRPr="009145D5">
        <w:rPr>
          <w:b/>
          <w:i/>
        </w:rPr>
        <w:t xml:space="preserve">наблюдаемый во всех отраслевых сегментах количественный рост утечек </w:t>
      </w:r>
      <w:proofErr w:type="spellStart"/>
      <w:r w:rsidRPr="009145D5">
        <w:rPr>
          <w:b/>
          <w:i/>
        </w:rPr>
        <w:t>ПДн</w:t>
      </w:r>
      <w:proofErr w:type="spellEnd"/>
      <w:r w:rsidRPr="009145D5">
        <w:rPr>
          <w:b/>
          <w:i/>
        </w:rPr>
        <w:t xml:space="preserve"> может быть связан с </w:t>
      </w:r>
      <w:r w:rsidR="00C8282C" w:rsidRPr="009145D5">
        <w:rPr>
          <w:b/>
          <w:i/>
        </w:rPr>
        <w:t>повсеместным внедрением систем</w:t>
      </w:r>
      <w:r w:rsidR="00115F6D">
        <w:rPr>
          <w:b/>
          <w:i/>
        </w:rPr>
        <w:t xml:space="preserve"> защиты</w:t>
      </w:r>
      <w:r w:rsidR="00C8282C" w:rsidRPr="009145D5">
        <w:rPr>
          <w:b/>
          <w:i/>
        </w:rPr>
        <w:t>.</w:t>
      </w:r>
    </w:p>
    <w:p w14:paraId="2F49B88E" w14:textId="7F21EBBA" w:rsidR="00723755" w:rsidRDefault="00723755" w:rsidP="00723755"/>
    <w:p w14:paraId="30ED00CE" w14:textId="0A37A573" w:rsidR="00301899" w:rsidRDefault="00741401" w:rsidP="00741401">
      <w:r>
        <w:t xml:space="preserve">Косвенно такой вывод подтверждается тем, что и для умышленных утечек информации, составляющей коммерческую тайну и </w:t>
      </w:r>
      <w:r w:rsidR="0073298B">
        <w:t xml:space="preserve">для </w:t>
      </w:r>
      <w:r>
        <w:t>ноу-хау</w:t>
      </w:r>
      <w:r w:rsidR="00666905" w:rsidRPr="00666905">
        <w:t>,</w:t>
      </w:r>
      <w:r>
        <w:t xml:space="preserve"> наблюдается сходная картина — если раньше умышленные утечки таких типов данных фиксировались лишь в отдельных отраслях, то в 2017 году умышленные утечки коммерческой тайны и ноу-хау зарегистрированы во всех исследуемых сегментах (см. </w:t>
      </w:r>
      <w:r>
        <w:fldChar w:fldCharType="begin"/>
      </w:r>
      <w:r>
        <w:instrText xml:space="preserve"> REF _Ref528154458 \h </w:instrText>
      </w:r>
      <w:r>
        <w:fldChar w:fldCharType="separate"/>
      </w:r>
      <w:r>
        <w:t xml:space="preserve">Рисунок </w:t>
      </w:r>
      <w:r>
        <w:rPr>
          <w:noProof/>
        </w:rPr>
        <w:t>9</w:t>
      </w:r>
      <w:r>
        <w:fldChar w:fldCharType="end"/>
      </w:r>
      <w:r>
        <w:t xml:space="preserve">). </w:t>
      </w:r>
    </w:p>
    <w:p w14:paraId="07EC33BF" w14:textId="0B89DC30" w:rsidR="00557631" w:rsidRDefault="00557631" w:rsidP="00557631">
      <w:pPr>
        <w:pStyle w:val="afc"/>
      </w:pPr>
      <w:r w:rsidRPr="00715FF9">
        <w:rPr>
          <w:color w:val="4F81BD" w:themeColor="accent1"/>
        </w:rPr>
        <w:drawing>
          <wp:inline distT="0" distB="0" distL="0" distR="0" wp14:anchorId="46864144" wp14:editId="2782ACA4">
            <wp:extent cx="6151880" cy="1694738"/>
            <wp:effectExtent l="0" t="0" r="1270" b="127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  <w:r w:rsidRPr="00557631">
        <w:t xml:space="preserve"> </w:t>
      </w:r>
      <w:r>
        <w:t xml:space="preserve">Рисунок </w:t>
      </w:r>
      <w:r>
        <w:rPr>
          <w:noProof w:val="0"/>
        </w:rPr>
        <w:fldChar w:fldCharType="begin"/>
      </w:r>
      <w:r>
        <w:instrText xml:space="preserve"> SEQ Рисунок \* ARABIC </w:instrText>
      </w:r>
      <w:r>
        <w:rPr>
          <w:noProof w:val="0"/>
        </w:rPr>
        <w:fldChar w:fldCharType="separate"/>
      </w:r>
      <w:r>
        <w:t>9</w:t>
      </w:r>
      <w:r>
        <w:fldChar w:fldCharType="end"/>
      </w:r>
      <w:r>
        <w:t>. Распределение умышленных утечек коммерческой тайны и ноу-хау по отраслям, 20</w:t>
      </w:r>
      <w:r w:rsidRPr="005843E9">
        <w:t>13</w:t>
      </w:r>
      <w:r>
        <w:t xml:space="preserve"> –</w:t>
      </w:r>
      <w:r w:rsidRPr="00EC5384">
        <w:t xml:space="preserve"> </w:t>
      </w:r>
      <w:r>
        <w:t>2017 гг</w:t>
      </w:r>
      <w:r w:rsidRPr="003C521B">
        <w:t>.</w:t>
      </w:r>
    </w:p>
    <w:p w14:paraId="5C1B9C77" w14:textId="7745A98B" w:rsidR="0090179F" w:rsidRDefault="00741401" w:rsidP="00C41C88">
      <w:r>
        <w:t>Таким образом, есть все основания полагать, что</w:t>
      </w:r>
      <w:r w:rsidR="00301899">
        <w:t xml:space="preserve"> </w:t>
      </w:r>
    </w:p>
    <w:p w14:paraId="2E23B669" w14:textId="79A550A3" w:rsidR="00E1450F" w:rsidRPr="009457EC" w:rsidRDefault="00D3166B" w:rsidP="009457EC">
      <w:pPr>
        <w:jc w:val="center"/>
        <w:rPr>
          <w:b/>
          <w:i/>
        </w:rPr>
      </w:pPr>
      <w:r w:rsidRPr="009457EC">
        <w:rPr>
          <w:b/>
          <w:i/>
        </w:rPr>
        <w:t xml:space="preserve">развитие и повсеместное внедрение систем защиты данных от утечек позволило </w:t>
      </w:r>
      <w:r w:rsidR="004C75A8">
        <w:rPr>
          <w:b/>
          <w:i/>
        </w:rPr>
        <w:t>выявить</w:t>
      </w:r>
      <w:r w:rsidR="004D3421">
        <w:rPr>
          <w:b/>
          <w:i/>
        </w:rPr>
        <w:t xml:space="preserve"> </w:t>
      </w:r>
      <w:r w:rsidR="00551625" w:rsidRPr="009457EC">
        <w:rPr>
          <w:b/>
          <w:i/>
        </w:rPr>
        <w:t>и вывести из тени</w:t>
      </w:r>
      <w:r w:rsidRPr="009457EC">
        <w:rPr>
          <w:b/>
          <w:i/>
        </w:rPr>
        <w:t xml:space="preserve"> </w:t>
      </w:r>
      <w:r w:rsidR="00E07C20" w:rsidRPr="009457EC">
        <w:rPr>
          <w:b/>
          <w:i/>
        </w:rPr>
        <w:t>т</w:t>
      </w:r>
      <w:r w:rsidR="003C0BFA" w:rsidRPr="009457EC">
        <w:rPr>
          <w:b/>
          <w:i/>
        </w:rPr>
        <w:t>е утечки, которые ранее происходили в отдельных отраслях, но не фиксировались</w:t>
      </w:r>
      <w:r w:rsidR="001D5D88" w:rsidRPr="009457EC">
        <w:rPr>
          <w:b/>
          <w:i/>
        </w:rPr>
        <w:t>.</w:t>
      </w:r>
    </w:p>
    <w:p w14:paraId="79BD1900" w14:textId="6675186C" w:rsidR="00C41C88" w:rsidRDefault="00C41C88">
      <w:pPr>
        <w:suppressAutoHyphens w:val="0"/>
        <w:spacing w:before="0" w:after="0"/>
      </w:pPr>
      <w:r>
        <w:br w:type="page"/>
      </w:r>
    </w:p>
    <w:p w14:paraId="5CC2957A" w14:textId="14EF52E5" w:rsidR="00392DE3" w:rsidRDefault="007F17B9" w:rsidP="00234411">
      <w:pPr>
        <w:pStyle w:val="2"/>
      </w:pPr>
      <w:r>
        <w:lastRenderedPageBreak/>
        <w:t>Наиболее «проблемное» звено в безопасности данных — сотрудник компании</w:t>
      </w:r>
    </w:p>
    <w:p w14:paraId="2BA42D59" w14:textId="4C89FA2D" w:rsidR="00EF7CC0" w:rsidRDefault="00EF7CC0" w:rsidP="00723755">
      <w:r>
        <w:t>Статистика</w:t>
      </w:r>
      <w:r w:rsidR="003B0DAE">
        <w:t xml:space="preserve"> инцидентов</w:t>
      </w:r>
      <w:r>
        <w:t xml:space="preserve"> </w:t>
      </w:r>
      <w:r w:rsidR="003B0DAE">
        <w:t xml:space="preserve">в количественном выражении </w:t>
      </w:r>
      <w:r>
        <w:t xml:space="preserve">свидетельствует, что наиболее </w:t>
      </w:r>
      <w:r w:rsidR="008C7207">
        <w:t>«проблемным» звеном в системе информационной безопасности является сотрудник компании. На долю</w:t>
      </w:r>
      <w:r w:rsidR="004864B4">
        <w:t xml:space="preserve"> </w:t>
      </w:r>
      <w:r w:rsidR="003B0DAE">
        <w:t xml:space="preserve">этого нарушителя </w:t>
      </w:r>
      <w:r w:rsidR="004864B4">
        <w:t xml:space="preserve">приходится </w:t>
      </w:r>
      <w:r w:rsidR="008332E0">
        <w:t xml:space="preserve">75-85% всех </w:t>
      </w:r>
      <w:r w:rsidR="005E5966">
        <w:t xml:space="preserve">внутренних утечек (см. </w:t>
      </w:r>
      <w:r w:rsidR="005E5966">
        <w:fldChar w:fldCharType="begin"/>
      </w:r>
      <w:r w:rsidR="005E5966">
        <w:instrText xml:space="preserve"> REF _Ref528248807 \h </w:instrText>
      </w:r>
      <w:r w:rsidR="005E5966">
        <w:fldChar w:fldCharType="separate"/>
      </w:r>
      <w:r w:rsidR="005E5966">
        <w:t xml:space="preserve">Рисунок </w:t>
      </w:r>
      <w:r w:rsidR="005E5966">
        <w:rPr>
          <w:noProof/>
        </w:rPr>
        <w:t>10</w:t>
      </w:r>
      <w:r w:rsidR="005E5966">
        <w:fldChar w:fldCharType="end"/>
      </w:r>
      <w:r w:rsidR="005E5966">
        <w:t xml:space="preserve">). </w:t>
      </w:r>
    </w:p>
    <w:p w14:paraId="0BF6E8C9" w14:textId="77777777" w:rsidR="00F53BBE" w:rsidRDefault="00F53BBE" w:rsidP="00F53BBE">
      <w:r w:rsidRPr="00715FF9">
        <w:rPr>
          <w:noProof/>
          <w:color w:val="4F81BD" w:themeColor="accent1"/>
        </w:rPr>
        <w:drawing>
          <wp:inline distT="0" distB="0" distL="0" distR="0" wp14:anchorId="1B770661" wp14:editId="403C7CFF">
            <wp:extent cx="6151880" cy="797488"/>
            <wp:effectExtent l="0" t="0" r="1270" b="317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  <w:r w:rsidRPr="00715FF9">
        <w:rPr>
          <w:noProof/>
          <w:color w:val="4F81BD" w:themeColor="accent1"/>
        </w:rPr>
        <w:drawing>
          <wp:inline distT="0" distB="0" distL="0" distR="0" wp14:anchorId="6B942098" wp14:editId="36B872B6">
            <wp:extent cx="6151880" cy="1967696"/>
            <wp:effectExtent l="0" t="0" r="1270" b="0"/>
            <wp:docPr id="25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1A4D1DA5" w14:textId="77777777" w:rsidR="00F53BBE" w:rsidRDefault="00F53BBE" w:rsidP="00F53BBE">
      <w:pPr>
        <w:pStyle w:val="afc"/>
      </w:pPr>
      <w:bookmarkStart w:id="18" w:name="_Ref528248807"/>
      <w:r>
        <w:t xml:space="preserve">Рисунок </w:t>
      </w:r>
      <w:r>
        <w:rPr>
          <w:noProof w:val="0"/>
        </w:rPr>
        <w:fldChar w:fldCharType="begin"/>
      </w:r>
      <w:r>
        <w:instrText xml:space="preserve"> SEQ Рисунок \* ARABIC </w:instrText>
      </w:r>
      <w:r>
        <w:rPr>
          <w:noProof w:val="0"/>
        </w:rPr>
        <w:fldChar w:fldCharType="separate"/>
      </w:r>
      <w:r>
        <w:t>10</w:t>
      </w:r>
      <w:r>
        <w:fldChar w:fldCharType="end"/>
      </w:r>
      <w:bookmarkEnd w:id="18"/>
      <w:r>
        <w:t>. Распределение «внутренних» утечек по виновнику, 20</w:t>
      </w:r>
      <w:r w:rsidRPr="005843E9">
        <w:t>13</w:t>
      </w:r>
      <w:r>
        <w:t xml:space="preserve"> –</w:t>
      </w:r>
      <w:r w:rsidRPr="00EC5384">
        <w:t xml:space="preserve"> </w:t>
      </w:r>
      <w:r>
        <w:t>2017 гг</w:t>
      </w:r>
      <w:r w:rsidRPr="003C521B">
        <w:t>.</w:t>
      </w:r>
    </w:p>
    <w:p w14:paraId="470EA567" w14:textId="37F37B64" w:rsidR="00375710" w:rsidRDefault="00420AF5" w:rsidP="00723755">
      <w:r>
        <w:t>П</w:t>
      </w:r>
      <w:r w:rsidR="00E86796">
        <w:t xml:space="preserve">рименительно к распределению внутренних утечек по виновнику </w:t>
      </w:r>
      <w:r w:rsidR="00A57C26">
        <w:t xml:space="preserve">наиболее </w:t>
      </w:r>
      <w:r w:rsidR="00651CE2">
        <w:t>актуальной на сегодня</w:t>
      </w:r>
      <w:r w:rsidR="007456D1">
        <w:t xml:space="preserve"> выглядит проблема так называемого «привилегированного пользователя» — сотрудника, чьи права доступа к </w:t>
      </w:r>
      <w:r w:rsidR="008B3D46">
        <w:t xml:space="preserve">информации, обрабатываемой в компании, </w:t>
      </w:r>
      <w:r w:rsidR="007456D1">
        <w:t>практически не ограничены</w:t>
      </w:r>
      <w:r w:rsidR="008B3D46">
        <w:t xml:space="preserve">, при этом контроль </w:t>
      </w:r>
      <w:r w:rsidR="00C80452">
        <w:t xml:space="preserve">действий такого сотрудника </w:t>
      </w:r>
      <w:r w:rsidR="00C56E61">
        <w:t>не организован либо осуществляется не в полном объеме.</w:t>
      </w:r>
      <w:r w:rsidR="00507493">
        <w:t xml:space="preserve"> Как правило, к </w:t>
      </w:r>
      <w:r w:rsidR="00BE588C">
        <w:t>привилегированным</w:t>
      </w:r>
      <w:r w:rsidR="00507493">
        <w:t xml:space="preserve"> пользователям относят топ-менеджмент компаний и организаций, системных администраторов и приравненных к ним сотрудников</w:t>
      </w:r>
      <w:r w:rsidR="00BF4A3C">
        <w:t xml:space="preserve"> (в том числе офицеров безопасности).</w:t>
      </w:r>
      <w:r w:rsidR="00375710">
        <w:t xml:space="preserve"> </w:t>
      </w:r>
    </w:p>
    <w:p w14:paraId="42482D57" w14:textId="34F31A35" w:rsidR="00723755" w:rsidRDefault="00375710" w:rsidP="00723755">
      <w:r>
        <w:t xml:space="preserve">В 2017 году на долю привилегированных пользователей пришлось 8,5% </w:t>
      </w:r>
      <w:r w:rsidR="00F34079">
        <w:t xml:space="preserve">от всех умышленных </w:t>
      </w:r>
      <w:r>
        <w:t>внутренних утечек</w:t>
      </w:r>
      <w:r w:rsidR="006553CA">
        <w:t xml:space="preserve"> (см. </w:t>
      </w:r>
      <w:r w:rsidR="006553CA">
        <w:fldChar w:fldCharType="begin"/>
      </w:r>
      <w:r w:rsidR="006553CA">
        <w:instrText xml:space="preserve"> REF _Ref528249091 \h </w:instrText>
      </w:r>
      <w:r w:rsidR="006553CA">
        <w:fldChar w:fldCharType="separate"/>
      </w:r>
      <w:r w:rsidR="006553CA">
        <w:t xml:space="preserve">Рисунок </w:t>
      </w:r>
      <w:r w:rsidR="006553CA">
        <w:rPr>
          <w:noProof/>
        </w:rPr>
        <w:t>11</w:t>
      </w:r>
      <w:r w:rsidR="006553CA">
        <w:fldChar w:fldCharType="end"/>
      </w:r>
      <w:r w:rsidR="006553CA">
        <w:t>).</w:t>
      </w:r>
    </w:p>
    <w:p w14:paraId="55492448" w14:textId="77777777" w:rsidR="004E72C5" w:rsidRDefault="004E72C5" w:rsidP="004E72C5">
      <w:pPr>
        <w:pStyle w:val="a1"/>
        <w:keepNext/>
      </w:pPr>
      <w:r>
        <w:rPr>
          <w:noProof/>
        </w:rPr>
        <w:drawing>
          <wp:inline distT="0" distB="0" distL="0" distR="0" wp14:anchorId="46500B11" wp14:editId="5C989B3E">
            <wp:extent cx="6186170" cy="1389195"/>
            <wp:effectExtent l="0" t="0" r="5080" b="1905"/>
            <wp:docPr id="37" name="Диаграмма 3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14:paraId="7201B37F" w14:textId="2486E126" w:rsidR="004E72C5" w:rsidRDefault="004E72C5" w:rsidP="004E72C5">
      <w:pPr>
        <w:pStyle w:val="afc"/>
      </w:pPr>
      <w:bookmarkStart w:id="19" w:name="_Ref528249091"/>
      <w:r>
        <w:t xml:space="preserve">Рисунок </w:t>
      </w:r>
      <w:r>
        <w:rPr>
          <w:noProof w:val="0"/>
        </w:rPr>
        <w:fldChar w:fldCharType="begin"/>
      </w:r>
      <w:r>
        <w:instrText xml:space="preserve"> SEQ Рисунок \* ARABIC </w:instrText>
      </w:r>
      <w:r>
        <w:rPr>
          <w:noProof w:val="0"/>
        </w:rPr>
        <w:fldChar w:fldCharType="separate"/>
      </w:r>
      <w:r>
        <w:t>11</w:t>
      </w:r>
      <w:r>
        <w:fldChar w:fldCharType="end"/>
      </w:r>
      <w:bookmarkEnd w:id="19"/>
      <w:r>
        <w:t>. Доля умышленных утечек в разбивке по обычному и привилегированному пользователю</w:t>
      </w:r>
      <w:r w:rsidR="007365BE">
        <w:t xml:space="preserve">, </w:t>
      </w:r>
      <w:r>
        <w:t>2013 - 2017 гг.</w:t>
      </w:r>
    </w:p>
    <w:p w14:paraId="41DA3748" w14:textId="1FA2AA57" w:rsidR="00C56E61" w:rsidRDefault="00A77F6D" w:rsidP="00C56E61">
      <w:r>
        <w:lastRenderedPageBreak/>
        <w:t xml:space="preserve">С большой вероятностью, доля умышленных утечек, спровоцированных </w:t>
      </w:r>
      <w:r w:rsidR="005520E8">
        <w:t xml:space="preserve">привилегированным пользователем, будет расти. </w:t>
      </w:r>
      <w:r w:rsidR="00C56E61" w:rsidRPr="005749C1">
        <w:t>Сообщения СМИ полны историй о нелегитимных действиях высших руководителей, причем не только в коммерческом секторе, но и в сфере государственного управления.</w:t>
      </w:r>
    </w:p>
    <w:p w14:paraId="2C35E907" w14:textId="644F7FC4" w:rsidR="00960A6E" w:rsidRDefault="00AC1C05" w:rsidP="00960A6E">
      <w:pPr>
        <w:pStyle w:val="af6"/>
      </w:pPr>
      <w:hyperlink r:id="rId28" w:history="1">
        <w:r w:rsidR="00960A6E" w:rsidRPr="0000619A">
          <w:rPr>
            <w:rStyle w:val="af1"/>
          </w:rPr>
          <w:t>straitstimes.com</w:t>
        </w:r>
      </w:hyperlink>
      <w:r w:rsidR="00960A6E">
        <w:t>: В Сингапуре помощник руководителя юридической фирмы</w:t>
      </w:r>
      <w:r w:rsidR="00960A6E" w:rsidRPr="0000619A">
        <w:t xml:space="preserve"> </w:t>
      </w:r>
      <w:proofErr w:type="spellStart"/>
      <w:r w:rsidR="00960A6E">
        <w:t>Райан</w:t>
      </w:r>
      <w:proofErr w:type="spellEnd"/>
      <w:r w:rsidR="00960A6E">
        <w:t xml:space="preserve"> Линь (</w:t>
      </w:r>
      <w:proofErr w:type="spellStart"/>
      <w:r w:rsidR="00960A6E">
        <w:t>Ryan</w:t>
      </w:r>
      <w:proofErr w:type="spellEnd"/>
      <w:r w:rsidR="00960A6E">
        <w:t xml:space="preserve"> </w:t>
      </w:r>
      <w:proofErr w:type="spellStart"/>
      <w:r w:rsidR="00960A6E">
        <w:t>Lin</w:t>
      </w:r>
      <w:proofErr w:type="spellEnd"/>
      <w:r w:rsidR="00960A6E">
        <w:t>) предстал перед судом профессионального сообщества</w:t>
      </w:r>
      <w:r w:rsidR="00960A6E" w:rsidRPr="0000619A">
        <w:t xml:space="preserve"> </w:t>
      </w:r>
      <w:r w:rsidR="00960A6E">
        <w:t xml:space="preserve">и был признан виновным в отправке посредством </w:t>
      </w:r>
      <w:proofErr w:type="spellStart"/>
      <w:r w:rsidR="00960A6E">
        <w:t>WhatsApp</w:t>
      </w:r>
      <w:proofErr w:type="spellEnd"/>
      <w:r w:rsidR="00960A6E" w:rsidRPr="0000619A">
        <w:t xml:space="preserve"> </w:t>
      </w:r>
      <w:r w:rsidR="00960A6E">
        <w:t>конфиденциальных данных женщине, с которой он состоял в любовной связи.</w:t>
      </w:r>
      <w:r w:rsidR="00960A6E" w:rsidRPr="0000619A">
        <w:t xml:space="preserve"> </w:t>
      </w:r>
      <w:r w:rsidR="00960A6E">
        <w:t xml:space="preserve">По итогам разбирательства нарушитель оштрафован на </w:t>
      </w:r>
      <w:r w:rsidR="00562C82" w:rsidRPr="00E973FC">
        <w:t>$</w:t>
      </w:r>
      <w:r w:rsidR="00960A6E">
        <w:t>7 тыс.</w:t>
      </w:r>
    </w:p>
    <w:p w14:paraId="7F3966BC" w14:textId="0E2A9A5B" w:rsidR="001961C9" w:rsidRDefault="006C5C64" w:rsidP="00723755">
      <w:r>
        <w:t xml:space="preserve">Топ-менеджмент и иные лица с неограниченным доступом к информационным активам компаний намного чаще, чем рядовые сотрудники, </w:t>
      </w:r>
      <w:r w:rsidR="007E258F">
        <w:t xml:space="preserve">допускают умышленные утечки. </w:t>
      </w:r>
      <w:r w:rsidR="00D801C2">
        <w:t>Так в 2017 году лишь каждая четвертая утечка, спровоцированная рядовым сотрудником, оказалась умышленной</w:t>
      </w:r>
      <w:r w:rsidR="007365BE">
        <w:t>, в</w:t>
      </w:r>
      <w:r w:rsidR="00D801C2">
        <w:t xml:space="preserve"> то время как утечки, спровоцированные привилегированными пользователями, носили умышленный характер в 38</w:t>
      </w:r>
      <w:r w:rsidR="00AA2F70">
        <w:t>,5</w:t>
      </w:r>
      <w:r w:rsidR="00D801C2">
        <w:t xml:space="preserve">% случаев (см. </w:t>
      </w:r>
      <w:r w:rsidR="00D801C2">
        <w:fldChar w:fldCharType="begin"/>
      </w:r>
      <w:r w:rsidR="00D801C2">
        <w:instrText xml:space="preserve"> REF _Ref528249414 \h </w:instrText>
      </w:r>
      <w:r w:rsidR="00D801C2">
        <w:fldChar w:fldCharType="separate"/>
      </w:r>
      <w:r w:rsidR="00D801C2">
        <w:t xml:space="preserve">Рисунок </w:t>
      </w:r>
      <w:r w:rsidR="00D801C2">
        <w:rPr>
          <w:noProof/>
        </w:rPr>
        <w:t>12</w:t>
      </w:r>
      <w:r w:rsidR="00D801C2">
        <w:fldChar w:fldCharType="end"/>
      </w:r>
      <w:r w:rsidR="00D801C2">
        <w:t>).</w:t>
      </w:r>
    </w:p>
    <w:p w14:paraId="4A47003A" w14:textId="77777777" w:rsidR="007E258F" w:rsidRDefault="007E258F" w:rsidP="007E258F">
      <w:pPr>
        <w:pStyle w:val="a1"/>
        <w:keepNext/>
      </w:pPr>
      <w:r>
        <w:rPr>
          <w:noProof/>
        </w:rPr>
        <w:drawing>
          <wp:inline distT="0" distB="0" distL="0" distR="0" wp14:anchorId="641DBD35" wp14:editId="1D712E10">
            <wp:extent cx="6186170" cy="1675519"/>
            <wp:effectExtent l="0" t="0" r="5080" b="1270"/>
            <wp:docPr id="41" name="Диаграмма 4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14:paraId="20E09E18" w14:textId="77777777" w:rsidR="007E258F" w:rsidRDefault="007E258F" w:rsidP="007E258F">
      <w:pPr>
        <w:pStyle w:val="afc"/>
      </w:pPr>
      <w:bookmarkStart w:id="20" w:name="_Ref528249414"/>
      <w:r>
        <w:t xml:space="preserve">Рисунок </w:t>
      </w:r>
      <w:r>
        <w:rPr>
          <w:noProof w:val="0"/>
        </w:rPr>
        <w:fldChar w:fldCharType="begin"/>
      </w:r>
      <w:r>
        <w:instrText xml:space="preserve"> SEQ Рисунок \* ARABIC </w:instrText>
      </w:r>
      <w:r>
        <w:rPr>
          <w:noProof w:val="0"/>
        </w:rPr>
        <w:fldChar w:fldCharType="separate"/>
      </w:r>
      <w:r>
        <w:t>12</w:t>
      </w:r>
      <w:r>
        <w:fldChar w:fldCharType="end"/>
      </w:r>
      <w:bookmarkEnd w:id="20"/>
      <w:r>
        <w:t>. Доля умышленных утечек от общего числа утечек в распределении по обычному и привилегированному пользователю отдельно, 2013 - 2017 гг.</w:t>
      </w:r>
    </w:p>
    <w:p w14:paraId="39A130EB" w14:textId="77777777" w:rsidR="006774E0" w:rsidRDefault="002A5C27" w:rsidP="00723755">
      <w:r>
        <w:t>Определенные надежды связаны с тем, что доля умышленных утечек</w:t>
      </w:r>
      <w:r w:rsidR="002F426E">
        <w:t xml:space="preserve"> и для обычных сотрудников, и для привилегированных пользователей снижается. </w:t>
      </w:r>
    </w:p>
    <w:p w14:paraId="01987A2D" w14:textId="4FDB3D32" w:rsidR="009B0196" w:rsidRDefault="00704477" w:rsidP="00723755">
      <w:r>
        <w:t xml:space="preserve">Следует помнить, однако, что умышленные утечки отличает большая латентность (по сравнению со случайными утечками). </w:t>
      </w:r>
      <w:r w:rsidR="009B0196" w:rsidRPr="004F6C51">
        <w:t>Сообщения об умышленных утечках реже оказываются в центре внимания СМИ. Даже при наличии законодательно установленной обязанности сообщать о фактах утеч</w:t>
      </w:r>
      <w:r w:rsidR="00463F83">
        <w:t>ек</w:t>
      </w:r>
      <w:r w:rsidR="009B0196" w:rsidRPr="004F6C51">
        <w:t xml:space="preserve"> данных, не каждая компания готова </w:t>
      </w:r>
      <w:r w:rsidR="00463F83">
        <w:t>«вынести сор из избы»</w:t>
      </w:r>
      <w:r w:rsidR="00463F83" w:rsidRPr="00463F83">
        <w:t xml:space="preserve">, </w:t>
      </w:r>
      <w:r w:rsidR="00463F83">
        <w:t xml:space="preserve">то есть </w:t>
      </w:r>
      <w:r w:rsidR="009B0196" w:rsidRPr="004F6C51">
        <w:t>признать</w:t>
      </w:r>
      <w:r w:rsidR="00463F83">
        <w:t xml:space="preserve"> кражу </w:t>
      </w:r>
      <w:r w:rsidR="00562C82">
        <w:t>коммерческих секретов и другой конфиденциальной информации внутренними злоумышленниками</w:t>
      </w:r>
      <w:r w:rsidR="009B0196" w:rsidRPr="004F6C51">
        <w:t xml:space="preserve">. Ведь </w:t>
      </w:r>
      <w:r w:rsidR="00463F83">
        <w:t>такое признание</w:t>
      </w:r>
      <w:r w:rsidR="009B0196" w:rsidRPr="004F6C51">
        <w:t xml:space="preserve"> означает, что сотрудники или руководство компании </w:t>
      </w:r>
      <w:r w:rsidR="00463F83">
        <w:t xml:space="preserve">являются </w:t>
      </w:r>
      <w:r w:rsidR="009559EB">
        <w:t>преступник</w:t>
      </w:r>
      <w:r w:rsidR="00463F83">
        <w:t>ами</w:t>
      </w:r>
      <w:r w:rsidR="00DA76EE">
        <w:t xml:space="preserve">, а это чревато </w:t>
      </w:r>
      <w:r w:rsidR="00463F83">
        <w:t xml:space="preserve">весьма разрушительными </w:t>
      </w:r>
      <w:r w:rsidR="00DA76EE">
        <w:t>последствиями для репутации.</w:t>
      </w:r>
    </w:p>
    <w:p w14:paraId="0004BEB2" w14:textId="59458A4B" w:rsidR="00175C1E" w:rsidRPr="004F6C51" w:rsidRDefault="00AC1C05" w:rsidP="00430747">
      <w:pPr>
        <w:pStyle w:val="af6"/>
      </w:pPr>
      <w:hyperlink r:id="rId30" w:history="1">
        <w:r w:rsidR="00175C1E" w:rsidRPr="00B50229">
          <w:rPr>
            <w:rStyle w:val="af1"/>
          </w:rPr>
          <w:t>mercurynews.com</w:t>
        </w:r>
      </w:hyperlink>
      <w:r w:rsidR="00175C1E">
        <w:t xml:space="preserve">: Трое сотрудников страховой компании </w:t>
      </w:r>
      <w:proofErr w:type="spellStart"/>
      <w:r w:rsidR="00175C1E">
        <w:t>American</w:t>
      </w:r>
      <w:proofErr w:type="spellEnd"/>
      <w:r w:rsidR="00175C1E">
        <w:t xml:space="preserve"> </w:t>
      </w:r>
      <w:proofErr w:type="spellStart"/>
      <w:r w:rsidR="00175C1E">
        <w:t>Income</w:t>
      </w:r>
      <w:proofErr w:type="spellEnd"/>
      <w:r w:rsidR="00175C1E">
        <w:t xml:space="preserve"> </w:t>
      </w:r>
      <w:proofErr w:type="spellStart"/>
      <w:r w:rsidR="00175C1E">
        <w:t>Life</w:t>
      </w:r>
      <w:proofErr w:type="spellEnd"/>
      <w:r w:rsidR="00175C1E" w:rsidRPr="0000619A">
        <w:t xml:space="preserve"> </w:t>
      </w:r>
      <w:proofErr w:type="spellStart"/>
      <w:r w:rsidR="00175C1E">
        <w:t>Insurance</w:t>
      </w:r>
      <w:proofErr w:type="spellEnd"/>
      <w:r w:rsidR="00175C1E">
        <w:t xml:space="preserve">, используя персональные данные сотен человек, причинили ущерб работодателю и </w:t>
      </w:r>
      <w:r w:rsidR="00BE3A9A">
        <w:t xml:space="preserve">его </w:t>
      </w:r>
      <w:r w:rsidR="00175C1E">
        <w:t xml:space="preserve">клиентам на суму </w:t>
      </w:r>
      <w:r w:rsidR="00BE3A9A" w:rsidRPr="00BE3A9A">
        <w:t>$</w:t>
      </w:r>
      <w:r w:rsidR="00175C1E">
        <w:t>2,8 млн. Преступное трио незаконно оформило сотни полисов по программам страхования жизни. Злоумышленники подавали заявки на получение премий и выводили деньги на фальшивые счета.</w:t>
      </w:r>
    </w:p>
    <w:p w14:paraId="116A6721" w14:textId="1B46B531" w:rsidR="007238E9" w:rsidRPr="001961C9" w:rsidRDefault="006D2869" w:rsidP="00723755">
      <w:proofErr w:type="gramStart"/>
      <w:r>
        <w:lastRenderedPageBreak/>
        <w:t>Наряду со снижением доли умышленных утечек, следует отметить и снижение доли так называемых «квалифицированных» утечек, т.е. таких инцидентов, когда компрометация информации неразрывно связана с ее использованием в личных целях</w:t>
      </w:r>
      <w:r w:rsidR="00661E14">
        <w:t xml:space="preserve"> (мошенничество с персональными данными, банковский </w:t>
      </w:r>
      <w:proofErr w:type="spellStart"/>
      <w:r w:rsidR="00661E14">
        <w:t>фрод</w:t>
      </w:r>
      <w:proofErr w:type="spellEnd"/>
      <w:r w:rsidR="00661E14">
        <w:t>), либо сопряжена с нарушением</w:t>
      </w:r>
      <w:r w:rsidR="00C641B7">
        <w:t xml:space="preserve"> правил, регламентирующих доступ к данным того или иного сотрудника, т.е. с превышением имеющихся прав доступа, нелегитимным доступом к информационному</w:t>
      </w:r>
      <w:proofErr w:type="gramEnd"/>
      <w:r w:rsidR="00C641B7">
        <w:t xml:space="preserve"> ресурсу. </w:t>
      </w:r>
    </w:p>
    <w:p w14:paraId="684E1B7B" w14:textId="338DB476" w:rsidR="0026414A" w:rsidRPr="00012E44" w:rsidRDefault="00F719E6" w:rsidP="00723755">
      <w:r>
        <w:t xml:space="preserve">Доля «квалифицированных» утечек </w:t>
      </w:r>
      <w:r w:rsidR="00262728">
        <w:t xml:space="preserve">в целом </w:t>
      </w:r>
      <w:r>
        <w:t xml:space="preserve">не превышала 25% </w:t>
      </w:r>
      <w:r w:rsidR="00243139">
        <w:t>в период</w:t>
      </w:r>
      <w:r>
        <w:t xml:space="preserve"> 2013-2017 год</w:t>
      </w:r>
      <w:r w:rsidR="00BA311E">
        <w:t>а</w:t>
      </w:r>
      <w:r>
        <w:t xml:space="preserve"> и демонстрирует </w:t>
      </w:r>
      <w:r w:rsidR="00187067">
        <w:t xml:space="preserve">тенденцию к снижению. </w:t>
      </w:r>
      <w:r w:rsidR="000B1F4C">
        <w:t xml:space="preserve">При этом доля утечек, сопряженных с использованием информации в личных целях (мошенничество) остается </w:t>
      </w:r>
      <w:r w:rsidR="00B93D7B">
        <w:t xml:space="preserve">достаточно </w:t>
      </w:r>
      <w:r w:rsidR="000B1F4C">
        <w:t xml:space="preserve">стабильной </w:t>
      </w:r>
      <w:r w:rsidR="00B863BC">
        <w:t xml:space="preserve">(см. </w:t>
      </w:r>
      <w:r w:rsidR="00B863BC">
        <w:fldChar w:fldCharType="begin"/>
      </w:r>
      <w:r w:rsidR="00B863BC">
        <w:instrText xml:space="preserve"> REF _Ref528250092 \h </w:instrText>
      </w:r>
      <w:r w:rsidR="00B863BC">
        <w:fldChar w:fldCharType="separate"/>
      </w:r>
      <w:r w:rsidR="00B863BC">
        <w:t xml:space="preserve">Рисунок </w:t>
      </w:r>
      <w:r w:rsidR="00B863BC">
        <w:rPr>
          <w:noProof/>
        </w:rPr>
        <w:t>13</w:t>
      </w:r>
      <w:r w:rsidR="00B863BC">
        <w:fldChar w:fldCharType="end"/>
      </w:r>
      <w:r w:rsidR="00B863BC">
        <w:t>)</w:t>
      </w:r>
      <w:r w:rsidR="002548B0">
        <w:t xml:space="preserve">, </w:t>
      </w:r>
      <w:r w:rsidR="00B93D7B">
        <w:t>при этом в 2017 г</w:t>
      </w:r>
      <w:r w:rsidR="00B93D7B" w:rsidRPr="00B93D7B">
        <w:t>.</w:t>
      </w:r>
      <w:r w:rsidR="00B93D7B">
        <w:t xml:space="preserve"> более чем вдвое снизилась </w:t>
      </w:r>
      <w:r w:rsidR="002548B0">
        <w:t>доля утечек, сопряженных с превышением прав доступа.</w:t>
      </w:r>
    </w:p>
    <w:p w14:paraId="19E4A170" w14:textId="77777777" w:rsidR="00B8415E" w:rsidRDefault="00B8415E" w:rsidP="00B8415E">
      <w:pPr>
        <w:pStyle w:val="a1"/>
        <w:keepNext/>
      </w:pPr>
      <w:r>
        <w:rPr>
          <w:noProof/>
        </w:rPr>
        <w:drawing>
          <wp:inline distT="0" distB="0" distL="0" distR="0" wp14:anchorId="13571485" wp14:editId="11B893CF">
            <wp:extent cx="6186170" cy="1735800"/>
            <wp:effectExtent l="0" t="0" r="508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14:paraId="7311F7A9" w14:textId="13703C79" w:rsidR="00B8415E" w:rsidRDefault="00B8415E" w:rsidP="00B8415E">
      <w:pPr>
        <w:pStyle w:val="afc"/>
      </w:pPr>
      <w:bookmarkStart w:id="21" w:name="_Ref528250092"/>
      <w:r>
        <w:t xml:space="preserve">Рисунок </w:t>
      </w:r>
      <w:r>
        <w:rPr>
          <w:noProof w:val="0"/>
        </w:rPr>
        <w:fldChar w:fldCharType="begin"/>
      </w:r>
      <w:r>
        <w:instrText xml:space="preserve"> SEQ Рисунок \* ARABIC </w:instrText>
      </w:r>
      <w:r>
        <w:rPr>
          <w:noProof w:val="0"/>
        </w:rPr>
        <w:fldChar w:fldCharType="separate"/>
      </w:r>
      <w:r w:rsidR="00894A4A">
        <w:t>13</w:t>
      </w:r>
      <w:r>
        <w:fldChar w:fldCharType="end"/>
      </w:r>
      <w:bookmarkEnd w:id="21"/>
      <w:r>
        <w:t>. Доля внутренних «квалифицированных» утечек, 2013 - 2017 гг.</w:t>
      </w:r>
    </w:p>
    <w:p w14:paraId="26DAA1CE" w14:textId="5F9D8A0E" w:rsidR="00A262BE" w:rsidRDefault="0029463C" w:rsidP="00247163">
      <w:r>
        <w:t>2</w:t>
      </w:r>
      <w:r w:rsidR="009A12CE">
        <w:t>7</w:t>
      </w:r>
      <w:r>
        <w:t>,</w:t>
      </w:r>
      <w:r w:rsidR="009A12CE">
        <w:t>7</w:t>
      </w:r>
      <w:r>
        <w:t xml:space="preserve">% утечек </w:t>
      </w:r>
      <w:r w:rsidR="009A12CE">
        <w:t xml:space="preserve">от всех инцидентов, спровоцированных </w:t>
      </w:r>
      <w:r w:rsidR="00CD74D9">
        <w:t>«</w:t>
      </w:r>
      <w:r w:rsidR="009A12CE">
        <w:t>привилегированными</w:t>
      </w:r>
      <w:r w:rsidR="00CD74D9">
        <w:t>»</w:t>
      </w:r>
      <w:r w:rsidR="009A12CE">
        <w:t xml:space="preserve"> пользователями, относятся к типу квалифицированных. </w:t>
      </w:r>
      <w:r w:rsidR="00001491">
        <w:t xml:space="preserve">Процент квалифицированных утечек для обычных пользователей меньше — лишь </w:t>
      </w:r>
      <w:r w:rsidR="00010F43">
        <w:t xml:space="preserve">в 22,5% случаев утечка, спровоцированная </w:t>
      </w:r>
      <w:r w:rsidR="00D0330F">
        <w:t xml:space="preserve">обычным пользователем, была сопряжена с </w:t>
      </w:r>
      <w:r w:rsidR="00906BD5">
        <w:t>мошенничеством</w:t>
      </w:r>
      <w:r w:rsidR="00D0330F">
        <w:t xml:space="preserve"> либо с превышением прав доступа</w:t>
      </w:r>
      <w:r w:rsidR="00906BD5">
        <w:t xml:space="preserve"> (см. </w:t>
      </w:r>
      <w:r w:rsidR="00906BD5">
        <w:fldChar w:fldCharType="begin"/>
      </w:r>
      <w:r w:rsidR="00906BD5">
        <w:instrText xml:space="preserve"> REF _Ref528595190 \h </w:instrText>
      </w:r>
      <w:r w:rsidR="00906BD5">
        <w:fldChar w:fldCharType="separate"/>
      </w:r>
      <w:r w:rsidR="00906BD5">
        <w:t>Рисунок 14</w:t>
      </w:r>
      <w:r w:rsidR="00906BD5">
        <w:fldChar w:fldCharType="end"/>
      </w:r>
      <w:r w:rsidR="00906BD5">
        <w:t>)</w:t>
      </w:r>
      <w:r w:rsidR="00D0330F">
        <w:t>.</w:t>
      </w:r>
    </w:p>
    <w:p w14:paraId="174FC586" w14:textId="77777777" w:rsidR="00F131CF" w:rsidRDefault="00F131CF" w:rsidP="00F131CF">
      <w:pPr>
        <w:pStyle w:val="a1"/>
        <w:keepNext/>
      </w:pPr>
      <w:r>
        <w:rPr>
          <w:noProof/>
        </w:rPr>
        <w:drawing>
          <wp:inline distT="0" distB="0" distL="0" distR="0" wp14:anchorId="029B4FBD" wp14:editId="380883D6">
            <wp:extent cx="6186170" cy="1664948"/>
            <wp:effectExtent l="0" t="0" r="5080" b="0"/>
            <wp:docPr id="27" name="Диаграмма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14:paraId="6A596597" w14:textId="53CCB643" w:rsidR="00F131CF" w:rsidRDefault="00F131CF" w:rsidP="00F131CF">
      <w:pPr>
        <w:pStyle w:val="afc"/>
      </w:pPr>
      <w:bookmarkStart w:id="22" w:name="_Ref528595190"/>
      <w:r>
        <w:t xml:space="preserve">Рисунок </w:t>
      </w:r>
      <w:r>
        <w:rPr>
          <w:noProof w:val="0"/>
        </w:rPr>
        <w:fldChar w:fldCharType="begin"/>
      </w:r>
      <w:r>
        <w:instrText xml:space="preserve"> SEQ Рисунок \* ARABIC </w:instrText>
      </w:r>
      <w:r>
        <w:rPr>
          <w:noProof w:val="0"/>
        </w:rPr>
        <w:fldChar w:fldCharType="separate"/>
      </w:r>
      <w:r w:rsidR="00894A4A">
        <w:t>14</w:t>
      </w:r>
      <w:r>
        <w:fldChar w:fldCharType="end"/>
      </w:r>
      <w:bookmarkEnd w:id="22"/>
      <w:r>
        <w:t xml:space="preserve">. Доля «квалифицированных» утечек от общего числа инцидентов </w:t>
      </w:r>
      <w:r w:rsidR="00902FAA">
        <w:t>в распределении по обычному и привилегированному пользователю</w:t>
      </w:r>
      <w:r w:rsidR="00C16698">
        <w:t xml:space="preserve">, </w:t>
      </w:r>
      <w:r>
        <w:t>2013 - 2017 гг.</w:t>
      </w:r>
    </w:p>
    <w:p w14:paraId="5F1F5D31" w14:textId="5146F7F1" w:rsidR="005651E7" w:rsidRDefault="005651E7">
      <w:pPr>
        <w:suppressAutoHyphens w:val="0"/>
        <w:spacing w:before="0" w:after="0"/>
      </w:pPr>
      <w:r>
        <w:br w:type="page"/>
      </w:r>
    </w:p>
    <w:p w14:paraId="5FAFBCB3" w14:textId="74D42895" w:rsidR="005651E7" w:rsidRPr="0017331B" w:rsidRDefault="005651E7" w:rsidP="005651E7">
      <w:pPr>
        <w:pStyle w:val="2"/>
      </w:pPr>
      <w:r>
        <w:lastRenderedPageBreak/>
        <w:t xml:space="preserve">Наибольшая доля </w:t>
      </w:r>
      <w:r w:rsidR="0007434D">
        <w:t xml:space="preserve">случайных </w:t>
      </w:r>
      <w:r>
        <w:t>внутренних утечек приходится на сетевой канал</w:t>
      </w:r>
    </w:p>
    <w:p w14:paraId="2AA2BBE8" w14:textId="0C870CD1" w:rsidR="005651E7" w:rsidRDefault="00ED257C" w:rsidP="005651E7">
      <w:r>
        <w:t xml:space="preserve">Доля </w:t>
      </w:r>
      <w:r w:rsidR="00F536AE">
        <w:t xml:space="preserve">случайных </w:t>
      </w:r>
      <w:r>
        <w:t xml:space="preserve">утечек данных через сеть (в том числе из-за неверных настроек облачных хранилищ, </w:t>
      </w:r>
      <w:r w:rsidR="00DD370B">
        <w:t xml:space="preserve">неправомерного использования </w:t>
      </w:r>
      <w:r w:rsidR="00982ACB">
        <w:t xml:space="preserve">таких ресурсов, </w:t>
      </w:r>
      <w:r w:rsidR="001C5099">
        <w:t>ошибок при публикации данных на сайтах компаний и ведомств</w:t>
      </w:r>
      <w:r>
        <w:t>)</w:t>
      </w:r>
      <w:r w:rsidR="00AE5E64">
        <w:t xml:space="preserve"> составляет от </w:t>
      </w:r>
      <w:r w:rsidR="00F536AE">
        <w:t>20 до 47% в периоде 2013-2017 годов</w:t>
      </w:r>
      <w:r w:rsidR="00B93D7B" w:rsidRPr="00B93D7B">
        <w:t xml:space="preserve">. </w:t>
      </w:r>
      <w:r w:rsidR="00B93D7B">
        <w:t>Пиковое значение отмечено в 2016 году</w:t>
      </w:r>
      <w:r w:rsidR="00B93D7B" w:rsidRPr="00B93D7B">
        <w:t xml:space="preserve">, </w:t>
      </w:r>
      <w:r w:rsidR="00B93D7B">
        <w:t>далее</w:t>
      </w:r>
      <w:r w:rsidR="00F536AE">
        <w:t xml:space="preserve"> имеет</w:t>
      </w:r>
      <w:r w:rsidR="00B93D7B">
        <w:t>ся</w:t>
      </w:r>
      <w:r w:rsidR="00F536AE">
        <w:t xml:space="preserve"> тенденци</w:t>
      </w:r>
      <w:r w:rsidR="00B93D7B">
        <w:t>я</w:t>
      </w:r>
      <w:r w:rsidR="00F536AE">
        <w:t xml:space="preserve"> к снижению (см. </w:t>
      </w:r>
      <w:r w:rsidR="00F536AE">
        <w:fldChar w:fldCharType="begin"/>
      </w:r>
      <w:r w:rsidR="00F536AE">
        <w:instrText xml:space="preserve"> REF _Ref466993616 \h </w:instrText>
      </w:r>
      <w:r w:rsidR="00F536AE">
        <w:fldChar w:fldCharType="separate"/>
      </w:r>
      <w:r w:rsidR="00F536AE">
        <w:t>Рисунок 15</w:t>
      </w:r>
      <w:r w:rsidR="00F536AE">
        <w:fldChar w:fldCharType="end"/>
      </w:r>
      <w:r w:rsidR="00F536AE">
        <w:t>).</w:t>
      </w:r>
    </w:p>
    <w:p w14:paraId="5AE0EF6C" w14:textId="77777777" w:rsidR="00AE5E64" w:rsidRPr="002975A7" w:rsidRDefault="00AE5E64" w:rsidP="00AE5E64">
      <w:pPr>
        <w:pStyle w:val="a1"/>
        <w:keepNext/>
      </w:pPr>
      <w:r w:rsidRPr="00715FF9">
        <w:rPr>
          <w:noProof/>
          <w:color w:val="4F81BD" w:themeColor="accent1"/>
        </w:rPr>
        <w:drawing>
          <wp:inline distT="0" distB="0" distL="0" distR="0" wp14:anchorId="017645C4" wp14:editId="3C19B9B0">
            <wp:extent cx="6191885" cy="2653041"/>
            <wp:effectExtent l="0" t="0" r="0" b="0"/>
            <wp:docPr id="26" name="Диаграмма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14:paraId="024DE5D1" w14:textId="77777777" w:rsidR="00AE5E64" w:rsidRDefault="00AE5E64" w:rsidP="00AE5E64">
      <w:pPr>
        <w:pStyle w:val="afc"/>
      </w:pPr>
      <w:bookmarkStart w:id="23" w:name="_Ref466993616"/>
      <w:r>
        <w:t xml:space="preserve">Рисунок </w:t>
      </w:r>
      <w:r>
        <w:rPr>
          <w:noProof w:val="0"/>
        </w:rPr>
        <w:fldChar w:fldCharType="begin"/>
      </w:r>
      <w:r>
        <w:instrText xml:space="preserve"> SEQ Рисунок \* ARABIC </w:instrText>
      </w:r>
      <w:r>
        <w:rPr>
          <w:noProof w:val="0"/>
        </w:rPr>
        <w:fldChar w:fldCharType="separate"/>
      </w:r>
      <w:r>
        <w:t>15</w:t>
      </w:r>
      <w:r>
        <w:fldChar w:fldCharType="end"/>
      </w:r>
      <w:bookmarkEnd w:id="23"/>
      <w:r>
        <w:t>. Распределение случайных утечек по каналам передачи информации, 20</w:t>
      </w:r>
      <w:r w:rsidRPr="005843E9">
        <w:t>13</w:t>
      </w:r>
      <w:r>
        <w:t xml:space="preserve"> –</w:t>
      </w:r>
      <w:r w:rsidRPr="00EC5384">
        <w:t xml:space="preserve"> </w:t>
      </w:r>
      <w:r>
        <w:t>2017 гг</w:t>
      </w:r>
      <w:r w:rsidRPr="003C521B">
        <w:t>.</w:t>
      </w:r>
    </w:p>
    <w:p w14:paraId="5D85D397" w14:textId="5960D371" w:rsidR="00ED257C" w:rsidRDefault="004758DF" w:rsidP="005651E7">
      <w:r>
        <w:t xml:space="preserve">Наряду с этим растет доля </w:t>
      </w:r>
      <w:r w:rsidR="002905B3">
        <w:t>отличных от сетевого</w:t>
      </w:r>
      <w:r>
        <w:t xml:space="preserve"> каналов, что свидетельствует в пользу высказанного ранее предположения</w:t>
      </w:r>
      <w:r w:rsidR="003B1B0A">
        <w:t xml:space="preserve">, что </w:t>
      </w:r>
      <w:r w:rsidR="00B01B01">
        <w:t>с повышением</w:t>
      </w:r>
      <w:r w:rsidR="007A6A8B">
        <w:t xml:space="preserve"> </w:t>
      </w:r>
      <w:proofErr w:type="spellStart"/>
      <w:r w:rsidR="007A6A8B">
        <w:t>уровен</w:t>
      </w:r>
      <w:r w:rsidR="00B01B01">
        <w:t>я</w:t>
      </w:r>
      <w:proofErr w:type="spellEnd"/>
      <w:r w:rsidR="007A6A8B">
        <w:t xml:space="preserve"> защиты информации </w:t>
      </w:r>
      <w:r w:rsidR="00B01B01">
        <w:t xml:space="preserve">те утечки, которые не фиксировались ранее, стали попадать в </w:t>
      </w:r>
      <w:r w:rsidR="00136A29">
        <w:t>поле зрения</w:t>
      </w:r>
      <w:r w:rsidR="00B01B01">
        <w:t xml:space="preserve"> исследователей. </w:t>
      </w:r>
    </w:p>
    <w:p w14:paraId="2082F802" w14:textId="0E004BF4" w:rsidR="00791C52" w:rsidRDefault="00791C52" w:rsidP="005651E7">
      <w:r>
        <w:t>Несмотря на значительное снижение</w:t>
      </w:r>
      <w:r w:rsidR="00B93D7B">
        <w:t xml:space="preserve"> в 2016-2017 годы</w:t>
      </w:r>
      <w:r>
        <w:t xml:space="preserve">, по-прежнему высока доля утечек бумажной документации, </w:t>
      </w:r>
    </w:p>
    <w:p w14:paraId="4CF91CD7" w14:textId="77777777" w:rsidR="005B20AE" w:rsidRDefault="00AC1C05" w:rsidP="005B20AE">
      <w:pPr>
        <w:pStyle w:val="af6"/>
      </w:pPr>
      <w:hyperlink r:id="rId34" w:history="1">
        <w:r w:rsidR="005B20AE" w:rsidRPr="0000619A">
          <w:rPr>
            <w:rStyle w:val="af1"/>
          </w:rPr>
          <w:t>newyork.cbslocal.com</w:t>
        </w:r>
      </w:hyperlink>
      <w:r w:rsidR="005B20AE">
        <w:t>: Из автомобиля агента Секретной Службы США в</w:t>
      </w:r>
      <w:r w:rsidR="005B20AE" w:rsidRPr="0000619A">
        <w:t xml:space="preserve"> </w:t>
      </w:r>
      <w:r w:rsidR="005B20AE">
        <w:t>Бруклине неизвестные похитили сумку, в которой, помимо прочего, был</w:t>
      </w:r>
      <w:r w:rsidR="005B20AE" w:rsidRPr="0000619A">
        <w:t xml:space="preserve"> </w:t>
      </w:r>
      <w:r w:rsidR="005B20AE">
        <w:t>ноутбук, содержащий важную информацию. На устройстве хранились</w:t>
      </w:r>
      <w:r w:rsidR="005B20AE" w:rsidRPr="0000619A">
        <w:t xml:space="preserve"> </w:t>
      </w:r>
      <w:r w:rsidR="005B20AE">
        <w:t xml:space="preserve">поэтажный план и протокол эвакуации </w:t>
      </w:r>
      <w:proofErr w:type="spellStart"/>
      <w:r w:rsidR="005B20AE">
        <w:t>Trump</w:t>
      </w:r>
      <w:proofErr w:type="spellEnd"/>
      <w:r w:rsidR="005B20AE">
        <w:t xml:space="preserve"> </w:t>
      </w:r>
      <w:proofErr w:type="spellStart"/>
      <w:r w:rsidR="005B20AE">
        <w:t>Tower</w:t>
      </w:r>
      <w:proofErr w:type="spellEnd"/>
      <w:r w:rsidR="005B20AE">
        <w:t>, а также материалы</w:t>
      </w:r>
      <w:r w:rsidR="005B20AE" w:rsidRPr="0000619A">
        <w:t xml:space="preserve"> </w:t>
      </w:r>
      <w:r w:rsidR="005B20AE">
        <w:t>расследования в связи с нарушениями, допущенными экс-госсекретарем</w:t>
      </w:r>
      <w:r w:rsidR="005B20AE" w:rsidRPr="0000619A">
        <w:t xml:space="preserve"> </w:t>
      </w:r>
      <w:r w:rsidR="005B20AE">
        <w:t>Хиллари Клинтон при использовании электронной почты.</w:t>
      </w:r>
    </w:p>
    <w:p w14:paraId="24F881C2" w14:textId="56476046" w:rsidR="00791C52" w:rsidRDefault="005B20AE" w:rsidP="005651E7">
      <w:r>
        <w:t xml:space="preserve">Снижается доля случайных утечек через съемные носители, </w:t>
      </w:r>
      <w:r w:rsidR="001D1D0D">
        <w:t>вследствие потери или кражи оборудования.</w:t>
      </w:r>
    </w:p>
    <w:p w14:paraId="095AEDAC" w14:textId="045CB5F7" w:rsidR="004758DF" w:rsidRDefault="008558B5" w:rsidP="005651E7">
      <w:r>
        <w:t>По объективным причинам, распределение умышленных утечек по каналам не подчиняется строгой логике — з</w:t>
      </w:r>
      <w:r w:rsidR="00E36587">
        <w:t>ачастую встречаются совершенно экзотические случаи.</w:t>
      </w:r>
    </w:p>
    <w:p w14:paraId="0696F17B" w14:textId="77777777" w:rsidR="001D1D0D" w:rsidRDefault="00AC1C05" w:rsidP="001D1D0D">
      <w:pPr>
        <w:pStyle w:val="af6"/>
      </w:pPr>
      <w:hyperlink r:id="rId35" w:history="1">
        <w:r w:rsidR="001D1D0D" w:rsidRPr="006A5B61">
          <w:rPr>
            <w:rStyle w:val="af1"/>
          </w:rPr>
          <w:t>cbsnews.com</w:t>
        </w:r>
      </w:hyperlink>
      <w:r w:rsidR="001D1D0D">
        <w:t>:</w:t>
      </w:r>
      <w:r w:rsidR="001D1D0D" w:rsidRPr="006A5B61">
        <w:t xml:space="preserve"> Бывшая сотрудница Агентства национальной безопасности США (АНБ) </w:t>
      </w:r>
      <w:proofErr w:type="spellStart"/>
      <w:r w:rsidR="001D1D0D" w:rsidRPr="006A5B61">
        <w:t>Риэлити</w:t>
      </w:r>
      <w:proofErr w:type="spellEnd"/>
      <w:r w:rsidR="001D1D0D" w:rsidRPr="006A5B61">
        <w:t xml:space="preserve"> </w:t>
      </w:r>
      <w:proofErr w:type="spellStart"/>
      <w:r w:rsidR="001D1D0D" w:rsidRPr="006A5B61">
        <w:t>Виннер</w:t>
      </w:r>
      <w:proofErr w:type="spellEnd"/>
      <w:r w:rsidR="001D1D0D" w:rsidRPr="006A5B61">
        <w:t xml:space="preserve"> (</w:t>
      </w:r>
      <w:proofErr w:type="spellStart"/>
      <w:r w:rsidR="001D1D0D" w:rsidRPr="006A5B61">
        <w:t>Reality</w:t>
      </w:r>
      <w:proofErr w:type="spellEnd"/>
      <w:r w:rsidR="001D1D0D" w:rsidRPr="006A5B61">
        <w:t xml:space="preserve"> </w:t>
      </w:r>
      <w:proofErr w:type="spellStart"/>
      <w:r w:rsidR="001D1D0D" w:rsidRPr="006A5B61">
        <w:t>Winner</w:t>
      </w:r>
      <w:proofErr w:type="spellEnd"/>
      <w:r w:rsidR="001D1D0D" w:rsidRPr="006A5B61">
        <w:t xml:space="preserve">) призналась, что спрятала в колготках конфиденциальные документы, чтобы вынести их из офиса и </w:t>
      </w:r>
      <w:r w:rsidR="001D1D0D" w:rsidRPr="006A5B61">
        <w:lastRenderedPageBreak/>
        <w:t>передать журналистам</w:t>
      </w:r>
      <w:r w:rsidR="001D1D0D">
        <w:t xml:space="preserve">. </w:t>
      </w:r>
      <w:r w:rsidR="001D1D0D" w:rsidRPr="006A5B61">
        <w:t xml:space="preserve">Судебный процесс над </w:t>
      </w:r>
      <w:proofErr w:type="spellStart"/>
      <w:r w:rsidR="001D1D0D" w:rsidRPr="006A5B61">
        <w:t>Риэлити</w:t>
      </w:r>
      <w:proofErr w:type="spellEnd"/>
      <w:r w:rsidR="001D1D0D" w:rsidRPr="006A5B61">
        <w:t xml:space="preserve"> </w:t>
      </w:r>
      <w:proofErr w:type="spellStart"/>
      <w:r w:rsidR="001D1D0D" w:rsidRPr="006A5B61">
        <w:t>Виннер</w:t>
      </w:r>
      <w:proofErr w:type="spellEnd"/>
      <w:r w:rsidR="001D1D0D" w:rsidRPr="006A5B61">
        <w:t xml:space="preserve"> </w:t>
      </w:r>
      <w:r w:rsidR="001D1D0D">
        <w:t>начался</w:t>
      </w:r>
      <w:r w:rsidR="001D1D0D" w:rsidRPr="006A5B61">
        <w:t xml:space="preserve"> в марте 2018 г. За утечку государственных секретов ей грозит до 10 лет лишения свободы</w:t>
      </w:r>
      <w:r w:rsidR="001D1D0D">
        <w:t>.</w:t>
      </w:r>
    </w:p>
    <w:p w14:paraId="2CF322A8" w14:textId="2525333D" w:rsidR="006F11D2" w:rsidRDefault="00265FE9" w:rsidP="005651E7">
      <w:r>
        <w:t xml:space="preserve">Вместе с тем </w:t>
      </w:r>
      <w:r w:rsidR="00846222">
        <w:t xml:space="preserve">для умышленных утечек </w:t>
      </w:r>
      <w:r w:rsidR="00F20DFC">
        <w:t>необходимо учитывать ряд фактов</w:t>
      </w:r>
      <w:r w:rsidR="00846222">
        <w:t xml:space="preserve">. Во-первых, </w:t>
      </w:r>
      <w:r w:rsidR="00817F28">
        <w:t xml:space="preserve">сетевой канал </w:t>
      </w:r>
      <w:r w:rsidR="0033105D">
        <w:t xml:space="preserve">остается самым «популярным» у злоумышленников — свыше 10% утечек по этому каналу носят умышленный характер. </w:t>
      </w:r>
      <w:r w:rsidR="00D462B0">
        <w:t>Во-вторых, доля умышленных утечек по сетевому и остальным каналам снижается</w:t>
      </w:r>
      <w:r w:rsidR="006F11D2">
        <w:t xml:space="preserve"> (см. </w:t>
      </w:r>
      <w:r w:rsidR="006F11D2">
        <w:fldChar w:fldCharType="begin"/>
      </w:r>
      <w:r w:rsidR="006F11D2">
        <w:instrText xml:space="preserve"> REF _Ref528596744 \h </w:instrText>
      </w:r>
      <w:r w:rsidR="006F11D2">
        <w:fldChar w:fldCharType="separate"/>
      </w:r>
      <w:r w:rsidR="006F11D2">
        <w:t>Рисунок 16</w:t>
      </w:r>
      <w:r w:rsidR="006F11D2">
        <w:fldChar w:fldCharType="end"/>
      </w:r>
      <w:r w:rsidR="006F11D2">
        <w:t xml:space="preserve">). </w:t>
      </w:r>
    </w:p>
    <w:p w14:paraId="09966D73" w14:textId="77777777" w:rsidR="00DB7C80" w:rsidRPr="002975A7" w:rsidRDefault="00DB7C80" w:rsidP="00DB7C80">
      <w:pPr>
        <w:pStyle w:val="a1"/>
        <w:keepNext/>
      </w:pPr>
      <w:r w:rsidRPr="00715FF9">
        <w:rPr>
          <w:noProof/>
          <w:color w:val="4F81BD" w:themeColor="accent1"/>
        </w:rPr>
        <w:drawing>
          <wp:inline distT="0" distB="0" distL="0" distR="0" wp14:anchorId="4E895CD8" wp14:editId="73B820E5">
            <wp:extent cx="6191885" cy="1748162"/>
            <wp:effectExtent l="0" t="0" r="0" b="4445"/>
            <wp:docPr id="36" name="Диаграмма 3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14:paraId="6AF18507" w14:textId="77777777" w:rsidR="00DB7C80" w:rsidRDefault="00DB7C80" w:rsidP="00DB7C80">
      <w:pPr>
        <w:pStyle w:val="afc"/>
      </w:pPr>
      <w:bookmarkStart w:id="24" w:name="_Ref528596744"/>
      <w:r>
        <w:t xml:space="preserve">Рисунок </w:t>
      </w:r>
      <w:r>
        <w:rPr>
          <w:noProof w:val="0"/>
        </w:rPr>
        <w:fldChar w:fldCharType="begin"/>
      </w:r>
      <w:r>
        <w:instrText xml:space="preserve"> SEQ Рисунок \* ARABIC </w:instrText>
      </w:r>
      <w:r>
        <w:rPr>
          <w:noProof w:val="0"/>
        </w:rPr>
        <w:fldChar w:fldCharType="separate"/>
      </w:r>
      <w:r>
        <w:t>16</w:t>
      </w:r>
      <w:r>
        <w:fldChar w:fldCharType="end"/>
      </w:r>
      <w:bookmarkEnd w:id="24"/>
      <w:r>
        <w:t>. Доля умышленных внутренних утечек от общего числа внутренних утечек по каналу, 20</w:t>
      </w:r>
      <w:r w:rsidRPr="005843E9">
        <w:t>13</w:t>
      </w:r>
      <w:r>
        <w:t xml:space="preserve"> –</w:t>
      </w:r>
      <w:r w:rsidRPr="00EC5384">
        <w:t xml:space="preserve"> </w:t>
      </w:r>
      <w:r>
        <w:t>2017 гг</w:t>
      </w:r>
      <w:r w:rsidRPr="003C521B">
        <w:t>.</w:t>
      </w:r>
    </w:p>
    <w:p w14:paraId="44AAE096" w14:textId="70DDD823" w:rsidR="00E031AD" w:rsidRDefault="006F11D2" w:rsidP="005651E7">
      <w:r>
        <w:t>Предположительно, это означает, что злоумышленники, как и ранее, стремятся уйти из контролируемых каналов — прежде всего сет</w:t>
      </w:r>
      <w:r w:rsidR="00DB7C80">
        <w:t xml:space="preserve">евого. </w:t>
      </w:r>
      <w:r w:rsidR="00DB7C80" w:rsidRPr="00DB7C80">
        <w:t>Не секрет, что многие компании активно используют средства защиты данных для своевременного обнаружения подозрительной активности сотрудников. Также</w:t>
      </w:r>
      <w:r w:rsidR="00B93D7B">
        <w:t xml:space="preserve"> вполне естественно</w:t>
      </w:r>
      <w:r w:rsidR="00DB7C80" w:rsidRPr="00DB7C80">
        <w:t xml:space="preserve">, что сведения о наличии такой системы в компании быстро распространяются </w:t>
      </w:r>
      <w:r w:rsidR="00B93D7B">
        <w:t>среди сотрудников</w:t>
      </w:r>
      <w:r w:rsidR="00DB7C80" w:rsidRPr="00DB7C80">
        <w:t xml:space="preserve">. Принципы и особенности работы систем защиты </w:t>
      </w:r>
      <w:r w:rsidR="00A708D9">
        <w:t>в целом понятны для рядовых сотрудников</w:t>
      </w:r>
      <w:r w:rsidR="00A708D9" w:rsidRPr="00A708D9">
        <w:t xml:space="preserve">, </w:t>
      </w:r>
      <w:r w:rsidR="00A708D9">
        <w:t xml:space="preserve">не говоря уже о </w:t>
      </w:r>
      <w:proofErr w:type="gramStart"/>
      <w:r w:rsidR="00A708D9">
        <w:t>топ-менеджерах</w:t>
      </w:r>
      <w:proofErr w:type="gramEnd"/>
      <w:r w:rsidR="00A708D9">
        <w:t xml:space="preserve"> и технически подкованных </w:t>
      </w:r>
      <w:r w:rsidR="00BD5D30">
        <w:t>специалистах.</w:t>
      </w:r>
      <w:r w:rsidR="00BD5D30" w:rsidRPr="00DB7C80">
        <w:t xml:space="preserve"> </w:t>
      </w:r>
    </w:p>
    <w:p w14:paraId="40CD0324" w14:textId="597EC955" w:rsidR="00696056" w:rsidRPr="00E031AD" w:rsidRDefault="00DB7C80" w:rsidP="00E031AD">
      <w:pPr>
        <w:jc w:val="center"/>
        <w:rPr>
          <w:b/>
          <w:i/>
        </w:rPr>
      </w:pPr>
      <w:r w:rsidRPr="00E031AD">
        <w:rPr>
          <w:b/>
          <w:i/>
        </w:rPr>
        <w:t>В итоге «грамотные» сотрудники, решившие украсть информацию у своего работодателя, просто не используют контролируемые каналы.</w:t>
      </w:r>
      <w:r w:rsidR="00BC54BD" w:rsidRPr="00E031AD">
        <w:rPr>
          <w:b/>
          <w:i/>
        </w:rPr>
        <w:t xml:space="preserve"> Отсюда невысокая доля умышленных утечек по каналам в целом, практически нулевое число утечек через мобильные устройства</w:t>
      </w:r>
      <w:r w:rsidR="00A56E70">
        <w:rPr>
          <w:b/>
          <w:i/>
        </w:rPr>
        <w:t>, сервисы голосовых сообщений</w:t>
      </w:r>
      <w:r w:rsidR="00BC54BD" w:rsidRPr="00E031AD">
        <w:rPr>
          <w:b/>
          <w:i/>
        </w:rPr>
        <w:t>.</w:t>
      </w:r>
    </w:p>
    <w:p w14:paraId="2DC2AE2A" w14:textId="1B4BF803" w:rsidR="00065FB8" w:rsidRPr="005749C1" w:rsidRDefault="00AC1C05" w:rsidP="00A56E70">
      <w:pPr>
        <w:pStyle w:val="af6"/>
      </w:pPr>
      <w:hyperlink r:id="rId37" w:history="1">
        <w:r w:rsidR="009F2AAD" w:rsidRPr="00D6174E">
          <w:rPr>
            <w:rStyle w:val="af1"/>
          </w:rPr>
          <w:t>ehrintelligence.com</w:t>
        </w:r>
      </w:hyperlink>
      <w:r w:rsidR="009F2AAD">
        <w:t>:</w:t>
      </w:r>
      <w:r w:rsidR="009F2AAD" w:rsidRPr="00D6174E">
        <w:t xml:space="preserve"> </w:t>
      </w:r>
      <w:proofErr w:type="gramStart"/>
      <w:r w:rsidR="009F2AAD" w:rsidRPr="00D6174E">
        <w:t>Крупнейшая</w:t>
      </w:r>
      <w:proofErr w:type="gramEnd"/>
      <w:r w:rsidR="009F2AAD" w:rsidRPr="00D6174E">
        <w:t xml:space="preserve"> индийская ИТ-компания </w:t>
      </w:r>
      <w:proofErr w:type="spellStart"/>
      <w:r w:rsidR="009F2AAD" w:rsidRPr="00D6174E">
        <w:t>Tata</w:t>
      </w:r>
      <w:proofErr w:type="spellEnd"/>
      <w:r w:rsidR="009F2AAD" w:rsidRPr="00D6174E">
        <w:t xml:space="preserve"> </w:t>
      </w:r>
      <w:proofErr w:type="spellStart"/>
      <w:r w:rsidR="009F2AAD" w:rsidRPr="00D6174E">
        <w:t>Consultancy</w:t>
      </w:r>
      <w:proofErr w:type="spellEnd"/>
      <w:r w:rsidR="009F2AAD" w:rsidRPr="00D6174E">
        <w:t xml:space="preserve"> </w:t>
      </w:r>
      <w:proofErr w:type="spellStart"/>
      <w:r w:rsidR="009F2AAD" w:rsidRPr="00D6174E">
        <w:t>Services</w:t>
      </w:r>
      <w:proofErr w:type="spellEnd"/>
      <w:r w:rsidR="009F2AAD" w:rsidRPr="00D6174E">
        <w:t xml:space="preserve"> (TCS) </w:t>
      </w:r>
      <w:r w:rsidR="009F2AAD">
        <w:t>выплатит</w:t>
      </w:r>
      <w:r w:rsidR="009F2AAD" w:rsidRPr="00D6174E">
        <w:t xml:space="preserve"> американской </w:t>
      </w:r>
      <w:proofErr w:type="spellStart"/>
      <w:r w:rsidR="009F2AAD" w:rsidRPr="00D6174E">
        <w:t>Epic</w:t>
      </w:r>
      <w:proofErr w:type="spellEnd"/>
      <w:r w:rsidR="009F2AAD" w:rsidRPr="00D6174E">
        <w:t xml:space="preserve"> </w:t>
      </w:r>
      <w:proofErr w:type="spellStart"/>
      <w:r w:rsidR="009F2AAD" w:rsidRPr="00D6174E">
        <w:t>Systems</w:t>
      </w:r>
      <w:proofErr w:type="spellEnd"/>
      <w:r w:rsidR="009F2AAD" w:rsidRPr="00D6174E">
        <w:t xml:space="preserve"> </w:t>
      </w:r>
      <w:r w:rsidR="00A708D9" w:rsidRPr="00A708D9">
        <w:t>$</w:t>
      </w:r>
      <w:r w:rsidR="009F2AAD" w:rsidRPr="00D6174E">
        <w:t>420 млн</w:t>
      </w:r>
      <w:r w:rsidR="009F2AAD">
        <w:t xml:space="preserve">. </w:t>
      </w:r>
      <w:proofErr w:type="spellStart"/>
      <w:r w:rsidR="009F2AAD" w:rsidRPr="00D6174E">
        <w:t>Epic</w:t>
      </w:r>
      <w:proofErr w:type="spellEnd"/>
      <w:r w:rsidR="009F2AAD" w:rsidRPr="00D6174E">
        <w:t xml:space="preserve"> </w:t>
      </w:r>
      <w:proofErr w:type="spellStart"/>
      <w:r w:rsidR="009F2AAD" w:rsidRPr="00D6174E">
        <w:t>Systems</w:t>
      </w:r>
      <w:proofErr w:type="spellEnd"/>
      <w:r w:rsidR="009F2AAD" w:rsidRPr="00D6174E">
        <w:t xml:space="preserve"> подала иск к </w:t>
      </w:r>
      <w:proofErr w:type="spellStart"/>
      <w:r w:rsidR="009F2AAD" w:rsidRPr="00D6174E">
        <w:t>Tata</w:t>
      </w:r>
      <w:proofErr w:type="spellEnd"/>
      <w:r w:rsidR="009F2AAD" w:rsidRPr="00D6174E">
        <w:t xml:space="preserve"> </w:t>
      </w:r>
      <w:proofErr w:type="spellStart"/>
      <w:r w:rsidR="009F2AAD" w:rsidRPr="00D6174E">
        <w:t>Consultancy</w:t>
      </w:r>
      <w:proofErr w:type="spellEnd"/>
      <w:r w:rsidR="009F2AAD" w:rsidRPr="00D6174E">
        <w:t xml:space="preserve"> </w:t>
      </w:r>
      <w:proofErr w:type="spellStart"/>
      <w:r w:rsidR="009F2AAD" w:rsidRPr="00D6174E">
        <w:t>Services</w:t>
      </w:r>
      <w:proofErr w:type="spellEnd"/>
      <w:r w:rsidR="009F2AAD" w:rsidRPr="00D6174E">
        <w:t xml:space="preserve"> в 2014 г., обвинив ее в краже технической документации программного решения для автоматизации медицинских организаций. Американская компания утверждала, что сотрудник TCS намеренно устроился консультантом в клинику </w:t>
      </w:r>
      <w:proofErr w:type="spellStart"/>
      <w:r w:rsidR="009F2AAD" w:rsidRPr="00D6174E">
        <w:t>Kaiser</w:t>
      </w:r>
      <w:proofErr w:type="spellEnd"/>
      <w:r w:rsidR="009F2AAD" w:rsidRPr="00D6174E">
        <w:t xml:space="preserve"> </w:t>
      </w:r>
      <w:proofErr w:type="spellStart"/>
      <w:r w:rsidR="009F2AAD" w:rsidRPr="00D6174E">
        <w:t>Permanente</w:t>
      </w:r>
      <w:proofErr w:type="spellEnd"/>
      <w:r w:rsidR="009F2AAD" w:rsidRPr="00D6174E">
        <w:t xml:space="preserve"> в Портленде, где проходило внедрение системы </w:t>
      </w:r>
      <w:proofErr w:type="spellStart"/>
      <w:r w:rsidR="009F2AAD" w:rsidRPr="00D6174E">
        <w:t>Epic</w:t>
      </w:r>
      <w:proofErr w:type="spellEnd"/>
      <w:r w:rsidR="009F2AAD" w:rsidRPr="00D6174E">
        <w:t xml:space="preserve"> EHR. Используя поддельную учетную запись, он получил доступ к порталу </w:t>
      </w:r>
      <w:proofErr w:type="spellStart"/>
      <w:r w:rsidR="009F2AAD" w:rsidRPr="00D6174E">
        <w:t>Epic</w:t>
      </w:r>
      <w:proofErr w:type="spellEnd"/>
      <w:r w:rsidR="009F2AAD" w:rsidRPr="00D6174E">
        <w:t xml:space="preserve"> </w:t>
      </w:r>
      <w:proofErr w:type="spellStart"/>
      <w:r w:rsidR="009F2AAD" w:rsidRPr="00D6174E">
        <w:t>UserWeb</w:t>
      </w:r>
      <w:proofErr w:type="spellEnd"/>
      <w:r w:rsidR="009F2AAD" w:rsidRPr="00D6174E">
        <w:t>, созданному для поддержки инсталляции, интеграции и тестирования, и скачал более 6000 документов, содержащих конфиденциальную информацию о продукте</w:t>
      </w:r>
      <w:r w:rsidR="00A56E70">
        <w:t>.</w:t>
      </w:r>
    </w:p>
    <w:p w14:paraId="2758CE6E" w14:textId="5D8FEEAE" w:rsidR="00A56E70" w:rsidRDefault="00A56E70">
      <w:pPr>
        <w:suppressAutoHyphens w:val="0"/>
        <w:spacing w:before="0" w:after="0"/>
      </w:pPr>
      <w:r>
        <w:br w:type="page"/>
      </w:r>
    </w:p>
    <w:p w14:paraId="378E069C" w14:textId="4A8A6921" w:rsidR="00011217" w:rsidRDefault="00011217" w:rsidP="00A56E70">
      <w:pPr>
        <w:pStyle w:val="1"/>
        <w:numPr>
          <w:ilvl w:val="0"/>
          <w:numId w:val="0"/>
        </w:numPr>
      </w:pPr>
      <w:bookmarkStart w:id="25" w:name="_Toc528251551"/>
      <w:r>
        <w:lastRenderedPageBreak/>
        <w:t>Заключение и выводы</w:t>
      </w:r>
      <w:bookmarkEnd w:id="25"/>
    </w:p>
    <w:p w14:paraId="28AD1475" w14:textId="4C764742" w:rsidR="0017331B" w:rsidRDefault="0017331B" w:rsidP="0017331B">
      <w:pPr>
        <w:pStyle w:val="a1"/>
      </w:pPr>
      <w:r>
        <w:t xml:space="preserve">На фоне бесконечного числа сообщений об утечках </w:t>
      </w:r>
      <w:r w:rsidR="00A708D9">
        <w:t xml:space="preserve">конфиденциальных </w:t>
      </w:r>
      <w:r>
        <w:t xml:space="preserve">данных в результате внешних атак на информационные системы неподготовленный читатель рискует впасть в заблуждение, </w:t>
      </w:r>
      <w:r w:rsidR="00E027EB">
        <w:t xml:space="preserve">недооценив значение </w:t>
      </w:r>
      <w:r w:rsidR="007F4B5D">
        <w:t xml:space="preserve">утечек вследствие умысла или неосторожности внутреннего нарушителя. </w:t>
      </w:r>
      <w:r>
        <w:t>Между тем «внутренние» утечки никуда не исчезли. Простые сотрудники, руководители, системные администраторы</w:t>
      </w:r>
      <w:r w:rsidR="00A708D9" w:rsidRPr="00A708D9">
        <w:t xml:space="preserve">, </w:t>
      </w:r>
      <w:r w:rsidR="00A708D9">
        <w:t>подрядчики</w:t>
      </w:r>
      <w:r>
        <w:t xml:space="preserve"> и другие пользователи по-прежнему воруют информацию. </w:t>
      </w:r>
    </w:p>
    <w:p w14:paraId="09BFA26C" w14:textId="0731BFAE" w:rsidR="00885DC9" w:rsidRDefault="00812A3F" w:rsidP="0017331B">
      <w:pPr>
        <w:pStyle w:val="a1"/>
      </w:pPr>
      <w:r w:rsidRPr="00812A3F">
        <w:t xml:space="preserve">Картина современных «внутренних» утечек примерно такова: это компрометация огромных объемов данных вследствие ошибок легитимного пользователя или сбоев автоматизированных систем обработки. Сегодня случайная утечка – это прямая угроза бизнесу, поскольку утекает, как привило, критически важная информация </w:t>
      </w:r>
      <w:r w:rsidR="00F90FBB">
        <w:t>—</w:t>
      </w:r>
      <w:r w:rsidRPr="00812A3F">
        <w:t xml:space="preserve"> персональные </w:t>
      </w:r>
      <w:r w:rsidR="001226BD">
        <w:t xml:space="preserve">и платежные </w:t>
      </w:r>
      <w:r w:rsidRPr="00812A3F">
        <w:t xml:space="preserve">данные, </w:t>
      </w:r>
      <w:r w:rsidR="001226BD">
        <w:t>секреты производства</w:t>
      </w:r>
      <w:r w:rsidRPr="00812A3F">
        <w:t>, иные виды информации ограниченного доступа. Поэтому компания, обрабатывающая такие данные (по сути, любая компания), должна всерьез задуматься о распределении усилий меж</w:t>
      </w:r>
      <w:r w:rsidR="00C16698">
        <w:t>д</w:t>
      </w:r>
      <w:r w:rsidRPr="00812A3F">
        <w:t>у обеспечением защиты от внешних атак и от внутренних угроз (фактически ужесточая автоматизированный контроль действий собственных сотрудников).</w:t>
      </w:r>
    </w:p>
    <w:p w14:paraId="425E04E5" w14:textId="529FF889" w:rsidR="00636983" w:rsidRDefault="00B739E4" w:rsidP="0017331B">
      <w:pPr>
        <w:pStyle w:val="a1"/>
      </w:pPr>
      <w:r>
        <w:t xml:space="preserve">Можно по-разному интерпретировать </w:t>
      </w:r>
      <w:r w:rsidR="00F556C5">
        <w:t xml:space="preserve">колебания числа внутренних утечек на протяжении исследуемого периода, но </w:t>
      </w:r>
      <w:r w:rsidR="008A2312">
        <w:t xml:space="preserve">нельзя игнорировать тот факт, что внутренние утечки за последние несколько лет существенно добавили в </w:t>
      </w:r>
      <w:r w:rsidR="005F3549">
        <w:t>«</w:t>
      </w:r>
      <w:r w:rsidR="008A2312">
        <w:t>разрушительности</w:t>
      </w:r>
      <w:r w:rsidR="005F3549">
        <w:t xml:space="preserve">». </w:t>
      </w:r>
      <w:r w:rsidR="00C6728F">
        <w:t xml:space="preserve">Компании обрабатывают все больший объем данных, ошибки и злонамеренные действия персонала и подрядчиков обходятся все дороже, причем </w:t>
      </w:r>
      <w:r w:rsidR="001224E9">
        <w:t>не только в переносном смысле</w:t>
      </w:r>
      <w:r w:rsidR="00910145">
        <w:t> — компрометация заметного объема данных непременно приводит к крупным денежным штрафам и выплате компенсации пострадавшим.</w:t>
      </w:r>
    </w:p>
    <w:p w14:paraId="5E0E8CDD" w14:textId="312EB981" w:rsidR="00910145" w:rsidRDefault="00C93FDA" w:rsidP="0017331B">
      <w:pPr>
        <w:pStyle w:val="a1"/>
      </w:pPr>
      <w:r>
        <w:t>В</w:t>
      </w:r>
      <w:r w:rsidRPr="00C93FDA">
        <w:t>нутренние утечки сегодня ничуть не менее разрушительны (в плане возможных негативных последствий для владельцев информации), чем утечки внешние.</w:t>
      </w:r>
      <w:r w:rsidR="00100F47">
        <w:t xml:space="preserve"> Причем если основным и единственным драйвером внешних утечек остается умысел, то применительно к внутренним утечкам </w:t>
      </w:r>
      <w:r w:rsidR="00AE6F71">
        <w:t xml:space="preserve">мы вынуждены говорить о случайной компрометации. То есть об ошибках сотрудников. </w:t>
      </w:r>
      <w:r w:rsidR="00097DFE">
        <w:t>Очевидно, что уберечься от ошибок</w:t>
      </w:r>
      <w:r w:rsidR="00A708D9" w:rsidRPr="00A708D9">
        <w:t xml:space="preserve">, </w:t>
      </w:r>
      <w:r w:rsidR="00A708D9">
        <w:t>совершенных под влиянием человеческого фактора</w:t>
      </w:r>
      <w:r w:rsidR="00A708D9" w:rsidRPr="00A708D9">
        <w:t>,</w:t>
      </w:r>
      <w:r w:rsidR="00097DFE">
        <w:t xml:space="preserve"> бывает гораздо сложней, чем от действий </w:t>
      </w:r>
      <w:r w:rsidR="00466D8C">
        <w:t>пусть и злонамеренных, но осознанных, логичных и поддающихся прогнозированию.</w:t>
      </w:r>
    </w:p>
    <w:p w14:paraId="211CF472" w14:textId="538E30C0" w:rsidR="00F56CA7" w:rsidRDefault="00FE4E22" w:rsidP="0017331B">
      <w:pPr>
        <w:pStyle w:val="a1"/>
      </w:pPr>
      <w:r>
        <w:t xml:space="preserve">Следует отметить </w:t>
      </w:r>
      <w:proofErr w:type="gramStart"/>
      <w:r>
        <w:t>два</w:t>
      </w:r>
      <w:proofErr w:type="gramEnd"/>
      <w:r>
        <w:t xml:space="preserve"> безусловно позитивных момента, выявленных в ходе исследования: во-первых, распределение утечек по каналам выравнивается, </w:t>
      </w:r>
      <w:r w:rsidR="00295901">
        <w:t>сеть остается доминирующим</w:t>
      </w:r>
      <w:r w:rsidR="00AD4DBE">
        <w:t xml:space="preserve"> каналом компрометации данных</w:t>
      </w:r>
      <w:r w:rsidR="00295901">
        <w:t>, но не единственным</w:t>
      </w:r>
      <w:r w:rsidR="00AD4DBE">
        <w:t xml:space="preserve">. Это означает, что системы </w:t>
      </w:r>
      <w:proofErr w:type="gramStart"/>
      <w:r w:rsidR="00AD4DBE">
        <w:t>защиты</w:t>
      </w:r>
      <w:proofErr w:type="gramEnd"/>
      <w:r w:rsidR="00AD4DBE">
        <w:t xml:space="preserve"> наконец оказались способны </w:t>
      </w:r>
      <w:r w:rsidR="00765AEA">
        <w:t xml:space="preserve">эффективно контролировать </w:t>
      </w:r>
      <w:r w:rsidR="001A4588">
        <w:t xml:space="preserve">перемещение информации </w:t>
      </w:r>
      <w:r w:rsidR="00EA3118">
        <w:t xml:space="preserve">по каналам, отличным от сетевого. </w:t>
      </w:r>
      <w:r w:rsidR="00D75B7A">
        <w:t>Е</w:t>
      </w:r>
      <w:r w:rsidR="00D75B7A" w:rsidRPr="00D75B7A">
        <w:t xml:space="preserve">сть все основания полагать, что развитие и повсеместное внедрение </w:t>
      </w:r>
      <w:r w:rsidR="00A708D9">
        <w:rPr>
          <w:lang w:val="en-US"/>
        </w:rPr>
        <w:t>DLP</w:t>
      </w:r>
      <w:r w:rsidR="00A708D9" w:rsidRPr="00A708D9">
        <w:t>-</w:t>
      </w:r>
      <w:r w:rsidR="00D75B7A" w:rsidRPr="00D75B7A">
        <w:t xml:space="preserve">систем позволило </w:t>
      </w:r>
      <w:r w:rsidR="003E56BE">
        <w:t>выяв</w:t>
      </w:r>
      <w:r w:rsidR="00A708D9">
        <w:t xml:space="preserve">ить </w:t>
      </w:r>
      <w:r w:rsidR="00D75B7A" w:rsidRPr="00D75B7A">
        <w:t>и вывести из тени те утечки, которые ранее происходили в отдельных отраслях, но не фиксировались.</w:t>
      </w:r>
    </w:p>
    <w:p w14:paraId="09B8BB54" w14:textId="02A724E4" w:rsidR="005A4999" w:rsidRDefault="005A4999" w:rsidP="0017331B">
      <w:pPr>
        <w:pStyle w:val="a1"/>
      </w:pPr>
      <w:r>
        <w:t xml:space="preserve">Во-вторых, можно говорить о постепенном снижении </w:t>
      </w:r>
      <w:r w:rsidR="00542662">
        <w:t xml:space="preserve">доли утечек, спровоцированных привилегированным пользователем. С вероятностью, это связано с постепенным «прорастанием» правил надлежащего обращения с информацией, </w:t>
      </w:r>
      <w:r w:rsidR="00A708D9">
        <w:t xml:space="preserve">повышением </w:t>
      </w:r>
      <w:r w:rsidR="00542662">
        <w:t>культуры информационной безопасности</w:t>
      </w:r>
      <w:r w:rsidR="007E1C43">
        <w:t>.</w:t>
      </w:r>
    </w:p>
    <w:p w14:paraId="7FB1E372" w14:textId="0C3D5687" w:rsidR="007E1C43" w:rsidRDefault="007E1C43" w:rsidP="0017331B">
      <w:pPr>
        <w:pStyle w:val="a1"/>
      </w:pPr>
      <w:r>
        <w:lastRenderedPageBreak/>
        <w:t xml:space="preserve">Безусловно, указанные позитивные тенденции требуют проверки и </w:t>
      </w:r>
      <w:r w:rsidR="00A708D9">
        <w:t xml:space="preserve">корректировки </w:t>
      </w:r>
      <w:r>
        <w:t>в тех случаях, когда мы говорим о действиях зло</w:t>
      </w:r>
      <w:r w:rsidR="00A708D9">
        <w:t>намер</w:t>
      </w:r>
      <w:r>
        <w:t xml:space="preserve">енных сотрудников. </w:t>
      </w:r>
      <w:r w:rsidR="00880BE6">
        <w:t>К сожалению, против этой категории нарушителей технические средства практически бессильны</w:t>
      </w:r>
      <w:r w:rsidR="00F1061D">
        <w:t xml:space="preserve">. </w:t>
      </w:r>
    </w:p>
    <w:p w14:paraId="3AEFFD1E" w14:textId="282D40C0" w:rsidR="0017331B" w:rsidRDefault="00AF6E92" w:rsidP="0017331B">
      <w:pPr>
        <w:pStyle w:val="a1"/>
      </w:pPr>
      <w:r>
        <w:t>В целом</w:t>
      </w:r>
      <w:r w:rsidR="0017331B">
        <w:t xml:space="preserve">, </w:t>
      </w:r>
      <w:r>
        <w:t>есть все основания полагать</w:t>
      </w:r>
      <w:r w:rsidR="0017331B">
        <w:t xml:space="preserve">, что внутренние утечки </w:t>
      </w:r>
      <w:r>
        <w:t>сегодня не менее опасны, чем внешние</w:t>
      </w:r>
      <w:r w:rsidR="0017331B">
        <w:t xml:space="preserve">. </w:t>
      </w:r>
      <w:r w:rsidR="00A02144">
        <w:t>Э</w:t>
      </w:r>
      <w:r w:rsidR="0017331B">
        <w:t xml:space="preserve">то связано с увеличением объемов данных, обрабатываемых в компаниях, ростом числа каналов </w:t>
      </w:r>
      <w:r w:rsidR="00A02144">
        <w:t>—</w:t>
      </w:r>
      <w:r w:rsidR="0017331B">
        <w:t xml:space="preserve"> способов передачи данных, а также </w:t>
      </w:r>
      <w:r w:rsidR="00BE416B">
        <w:t xml:space="preserve">повышением </w:t>
      </w:r>
      <w:r w:rsidR="0017331B">
        <w:t xml:space="preserve">ликвидности самих данных. </w:t>
      </w:r>
      <w:r w:rsidR="00A02144">
        <w:t>Но самое главное, что в</w:t>
      </w:r>
      <w:r w:rsidR="0017331B">
        <w:t xml:space="preserve"> ряду инцидентов ИБ, влекущих компрометацию данных, внутренние утечки остаются наиболее сложными.</w:t>
      </w:r>
      <w:r w:rsidR="00A02144">
        <w:t xml:space="preserve"> А значит, требуют особого внимания и от исследователей, и от практикующих специалистов в области обеспечения информационной безопасности.</w:t>
      </w:r>
    </w:p>
    <w:p w14:paraId="0E903C58" w14:textId="7343232C" w:rsidR="00EA2339" w:rsidRDefault="00EA2339" w:rsidP="00326BE4">
      <w:r>
        <w:br w:type="page"/>
      </w:r>
    </w:p>
    <w:p w14:paraId="4E67ABB3" w14:textId="77777777" w:rsidR="00EA2339" w:rsidRPr="00435C87" w:rsidRDefault="00EA2339" w:rsidP="00EA2339">
      <w:pPr>
        <w:pStyle w:val="1"/>
      </w:pPr>
      <w:bookmarkStart w:id="26" w:name="_Toc528251552"/>
      <w:r>
        <w:lastRenderedPageBreak/>
        <w:t xml:space="preserve">Мониторинг утечек </w:t>
      </w:r>
      <w:r w:rsidRPr="00435C87">
        <w:t>на сайте InfoWatch</w:t>
      </w:r>
      <w:bookmarkEnd w:id="26"/>
    </w:p>
    <w:p w14:paraId="7A32C08D" w14:textId="77777777" w:rsidR="00EA2339" w:rsidRPr="00394CF0" w:rsidRDefault="00AC1C05" w:rsidP="00EA2339">
      <w:pPr>
        <w:pStyle w:val="a1"/>
      </w:pPr>
      <w:hyperlink r:id="rId38" w:history="1">
        <w:r w:rsidR="00EA2339">
          <w:rPr>
            <w:rStyle w:val="af1"/>
          </w:rPr>
          <w:t>На сайте Аналитического центра InfoWatch</w:t>
        </w:r>
      </w:hyperlink>
      <w:r w:rsidR="00EA2339" w:rsidRPr="005950E0">
        <w:t xml:space="preserve"> регулярно публикуются отчеты по утечкам информации и самые громкие инциденты с комментариями экспертов </w:t>
      </w:r>
      <w:r w:rsidR="00EA2339" w:rsidRPr="005950E0">
        <w:rPr>
          <w:lang w:val="en-US"/>
        </w:rPr>
        <w:t>InfoWatch</w:t>
      </w:r>
      <w:r w:rsidR="00EA2339" w:rsidRPr="00394CF0">
        <w:t>.</w:t>
      </w:r>
    </w:p>
    <w:p w14:paraId="0811C8DA" w14:textId="77777777" w:rsidR="00EA2339" w:rsidRPr="005950E0" w:rsidRDefault="00EA2339" w:rsidP="00EA2339">
      <w:pPr>
        <w:pStyle w:val="a1"/>
      </w:pPr>
      <w:r w:rsidRPr="00394CF0">
        <w:t xml:space="preserve">Кроме того на сайте представлены статистические данные по утечкам информации за прошедшие годы, оформленные в виде </w:t>
      </w:r>
      <w:hyperlink r:id="rId39" w:history="1">
        <w:r w:rsidRPr="00A4533D">
          <w:rPr>
            <w:rStyle w:val="af1"/>
          </w:rPr>
          <w:t>динамических графиков</w:t>
        </w:r>
      </w:hyperlink>
      <w:r w:rsidRPr="005950E0">
        <w:t>.</w:t>
      </w:r>
    </w:p>
    <w:p w14:paraId="2D530EC4" w14:textId="77777777" w:rsidR="00EA2339" w:rsidRPr="005950E0" w:rsidRDefault="00EA2339" w:rsidP="00EA2339">
      <w:pPr>
        <w:pStyle w:val="a1"/>
        <w:rPr>
          <w:noProof/>
        </w:rPr>
      </w:pPr>
      <w:r w:rsidRPr="005950E0">
        <w:rPr>
          <w:noProof/>
        </w:rPr>
        <w:drawing>
          <wp:inline distT="0" distB="0" distL="0" distR="0" wp14:anchorId="60A7FAD7" wp14:editId="274EE9CA">
            <wp:extent cx="1739713" cy="10287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739713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950E0">
        <w:rPr>
          <w:noProof/>
        </w:rPr>
        <w:t xml:space="preserve"> </w:t>
      </w:r>
      <w:r w:rsidRPr="005950E0">
        <w:rPr>
          <w:noProof/>
        </w:rPr>
        <w:drawing>
          <wp:inline distT="0" distB="0" distL="0" distR="0" wp14:anchorId="196BC280" wp14:editId="5611735A">
            <wp:extent cx="1788046" cy="1029600"/>
            <wp:effectExtent l="0" t="0" r="317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788046" cy="10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950E0">
        <w:rPr>
          <w:noProof/>
        </w:rPr>
        <w:t xml:space="preserve"> </w:t>
      </w:r>
      <w:r w:rsidRPr="005950E0">
        <w:rPr>
          <w:noProof/>
        </w:rPr>
        <w:drawing>
          <wp:inline distT="0" distB="0" distL="0" distR="0" wp14:anchorId="76832F24" wp14:editId="21B4640D">
            <wp:extent cx="1639733" cy="102960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639733" cy="10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FA721E" w14:textId="77777777" w:rsidR="00EA2339" w:rsidRPr="00394CF0" w:rsidRDefault="00EA2339" w:rsidP="00EA2339">
      <w:pPr>
        <w:pStyle w:val="a1"/>
      </w:pPr>
      <w:r w:rsidRPr="00394CF0">
        <w:t>Следите за новостями утечек, новыми отчетами, аналитическими и популярными статьями на наших каналах:</w:t>
      </w:r>
    </w:p>
    <w:p w14:paraId="09F892DD" w14:textId="77777777" w:rsidR="00EA2339" w:rsidRPr="00BB0AF4" w:rsidRDefault="00AC1C05" w:rsidP="00EA2339">
      <w:pPr>
        <w:pStyle w:val="a"/>
        <w:numPr>
          <w:ilvl w:val="0"/>
          <w:numId w:val="5"/>
        </w:numPr>
        <w:spacing w:before="120" w:after="120"/>
        <w:contextualSpacing/>
      </w:pPr>
      <w:hyperlink r:id="rId43" w:history="1">
        <w:r w:rsidR="00EA2339" w:rsidRPr="00BB0AF4">
          <w:rPr>
            <w:rStyle w:val="af1"/>
          </w:rPr>
          <w:t>Почтовая рассылка</w:t>
        </w:r>
      </w:hyperlink>
    </w:p>
    <w:p w14:paraId="2026D0F9" w14:textId="77777777" w:rsidR="00EA2339" w:rsidRPr="00BB0AF4" w:rsidRDefault="00AC1C05" w:rsidP="00EA2339">
      <w:pPr>
        <w:pStyle w:val="a"/>
        <w:numPr>
          <w:ilvl w:val="0"/>
          <w:numId w:val="5"/>
        </w:numPr>
        <w:spacing w:before="120" w:after="120"/>
        <w:contextualSpacing/>
      </w:pPr>
      <w:hyperlink r:id="rId44" w:history="1">
        <w:proofErr w:type="spellStart"/>
        <w:r w:rsidR="00EA2339" w:rsidRPr="00BB0AF4">
          <w:rPr>
            <w:rStyle w:val="af1"/>
          </w:rPr>
          <w:t>Facebook</w:t>
        </w:r>
        <w:proofErr w:type="spellEnd"/>
      </w:hyperlink>
    </w:p>
    <w:p w14:paraId="0C2BAC23" w14:textId="77777777" w:rsidR="00EA2339" w:rsidRPr="00BB0AF4" w:rsidRDefault="00AC1C05" w:rsidP="00EA2339">
      <w:pPr>
        <w:pStyle w:val="a"/>
        <w:numPr>
          <w:ilvl w:val="0"/>
          <w:numId w:val="5"/>
        </w:numPr>
        <w:spacing w:before="120" w:after="120"/>
        <w:contextualSpacing/>
      </w:pPr>
      <w:hyperlink r:id="rId45" w:history="1">
        <w:proofErr w:type="spellStart"/>
        <w:r w:rsidR="00EA2339" w:rsidRPr="00BB0AF4">
          <w:rPr>
            <w:rStyle w:val="af1"/>
          </w:rPr>
          <w:t>Twitter</w:t>
        </w:r>
        <w:proofErr w:type="spellEnd"/>
      </w:hyperlink>
    </w:p>
    <w:p w14:paraId="02777FBA" w14:textId="77777777" w:rsidR="00EA2339" w:rsidRPr="00BB0AF4" w:rsidRDefault="00AC1C05" w:rsidP="00EA2339">
      <w:pPr>
        <w:pStyle w:val="a"/>
        <w:numPr>
          <w:ilvl w:val="0"/>
          <w:numId w:val="5"/>
        </w:numPr>
        <w:spacing w:before="120" w:after="120"/>
        <w:contextualSpacing/>
      </w:pPr>
      <w:hyperlink r:id="rId46" w:history="1">
        <w:r w:rsidR="00EA2339" w:rsidRPr="00BB0AF4">
          <w:rPr>
            <w:rStyle w:val="af1"/>
          </w:rPr>
          <w:t>RSS</w:t>
        </w:r>
      </w:hyperlink>
    </w:p>
    <w:p w14:paraId="3D6BC136" w14:textId="77777777" w:rsidR="00EA2339" w:rsidRPr="005950E0" w:rsidRDefault="00EA2339" w:rsidP="00EA2339">
      <w:pPr>
        <w:pStyle w:val="a1"/>
      </w:pPr>
      <w:r w:rsidRPr="005950E0">
        <w:rPr>
          <w:noProof/>
        </w:rPr>
        <w:drawing>
          <wp:anchor distT="0" distB="0" distL="114300" distR="114300" simplePos="0" relativeHeight="251662848" behindDoc="0" locked="0" layoutInCell="1" allowOverlap="1" wp14:anchorId="206F16D3" wp14:editId="60CB56CC">
            <wp:simplePos x="0" y="0"/>
            <wp:positionH relativeFrom="column">
              <wp:posOffset>-91440</wp:posOffset>
            </wp:positionH>
            <wp:positionV relativeFrom="paragraph">
              <wp:posOffset>157480</wp:posOffset>
            </wp:positionV>
            <wp:extent cx="1400175" cy="1400175"/>
            <wp:effectExtent l="0" t="0" r="9525" b="9525"/>
            <wp:wrapSquare wrapText="bothSides"/>
            <wp:docPr id="40" name="Рисунок 40" descr="http://qrcoder.ru/code/?http%3A%2F%2Fwww.infowatch.ru%2Fanalytics%3Futm_source%3Dreport%26utm_medium%3Dinfo%26utm_campaign%3Danalitics&amp;3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qrcoder.ru/code/?http%3A%2F%2Fwww.infowatch.ru%2Fanalytics%3Futm_source%3Dreport%26utm_medium%3Dinfo%26utm_campaign%3Danalitics&amp;3&amp;0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E008C3" w14:textId="77777777" w:rsidR="00EA2339" w:rsidRPr="00394CF0" w:rsidRDefault="00EA2339" w:rsidP="00EA2339">
      <w:pPr>
        <w:pStyle w:val="a1"/>
      </w:pPr>
      <w:r w:rsidRPr="005950E0">
        <w:t>Аналитическ</w:t>
      </w:r>
      <w:r>
        <w:t>ий ц</w:t>
      </w:r>
      <w:r w:rsidRPr="00394CF0">
        <w:t>ентр InfoWatch</w:t>
      </w:r>
    </w:p>
    <w:p w14:paraId="3A425058" w14:textId="1D4C0D32" w:rsidR="00EA2339" w:rsidRPr="000D6911" w:rsidRDefault="00AC1C05" w:rsidP="000D6911">
      <w:hyperlink r:id="rId48" w:history="1">
        <w:r w:rsidR="00EA2339" w:rsidRPr="00BB0AF4">
          <w:rPr>
            <w:rStyle w:val="af1"/>
          </w:rPr>
          <w:t>www.infowatch.ru/analytics</w:t>
        </w:r>
      </w:hyperlink>
    </w:p>
    <w:p w14:paraId="1D1118E9" w14:textId="77777777" w:rsidR="00EA2339" w:rsidRDefault="00EA2339" w:rsidP="00EA2339">
      <w:pPr>
        <w:suppressAutoHyphens w:val="0"/>
        <w:spacing w:before="0" w:after="0"/>
        <w:rPr>
          <w:bCs/>
          <w:i/>
          <w:noProof/>
          <w:color w:val="007D32"/>
          <w:szCs w:val="18"/>
        </w:rPr>
      </w:pPr>
      <w:r>
        <w:br w:type="page"/>
      </w:r>
    </w:p>
    <w:p w14:paraId="33F56D6D" w14:textId="77777777" w:rsidR="00EA2339" w:rsidRPr="00AD63FF" w:rsidRDefault="00EA2339" w:rsidP="00EA2339">
      <w:pPr>
        <w:pStyle w:val="1"/>
      </w:pPr>
      <w:bookmarkStart w:id="27" w:name="_Toc528251553"/>
      <w:r w:rsidRPr="00AD63FF">
        <w:lastRenderedPageBreak/>
        <w:t>Глоссарий</w:t>
      </w:r>
      <w:bookmarkEnd w:id="27"/>
    </w:p>
    <w:p w14:paraId="14F3ADE7" w14:textId="77777777" w:rsidR="000D6911" w:rsidRPr="00A97C8C" w:rsidRDefault="000D6911" w:rsidP="000D6911">
      <w:pPr>
        <w:spacing w:after="0"/>
        <w:rPr>
          <w:i/>
          <w:sz w:val="16"/>
          <w:szCs w:val="16"/>
        </w:rPr>
      </w:pPr>
      <w:r w:rsidRPr="00A97C8C">
        <w:rPr>
          <w:b/>
          <w:color w:val="007D32"/>
          <w:sz w:val="16"/>
          <w:szCs w:val="16"/>
        </w:rPr>
        <w:t>Инциденты информационной безопасности</w:t>
      </w:r>
      <w:r w:rsidRPr="00A97C8C">
        <w:rPr>
          <w:i/>
          <w:sz w:val="16"/>
          <w:szCs w:val="16"/>
        </w:rPr>
        <w:t> — в данном исследовании к этой категории авторы относят случаи компрометации информации ограниченного доступа вследствие утечек данных и/или деструктивных действий сотрудников компании.</w:t>
      </w:r>
    </w:p>
    <w:p w14:paraId="63633ABA" w14:textId="77777777" w:rsidR="000D6911" w:rsidRPr="00A97C8C" w:rsidRDefault="000D6911" w:rsidP="000D6911">
      <w:pPr>
        <w:spacing w:after="0"/>
        <w:rPr>
          <w:i/>
          <w:sz w:val="16"/>
          <w:szCs w:val="16"/>
        </w:rPr>
      </w:pPr>
      <w:r w:rsidRPr="00A97C8C">
        <w:rPr>
          <w:b/>
          <w:color w:val="007D32"/>
          <w:sz w:val="16"/>
          <w:szCs w:val="16"/>
        </w:rPr>
        <w:t>Утечка данных</w:t>
      </w:r>
      <w:r w:rsidRPr="00A97C8C">
        <w:rPr>
          <w:i/>
          <w:sz w:val="16"/>
          <w:szCs w:val="16"/>
        </w:rPr>
        <w:t xml:space="preserve"> — под утечкой мы понимаем </w:t>
      </w:r>
      <w:r>
        <w:rPr>
          <w:i/>
          <w:sz w:val="16"/>
          <w:szCs w:val="16"/>
        </w:rPr>
        <w:t>утрату</w:t>
      </w:r>
      <w:r w:rsidRPr="00A70CDB">
        <w:rPr>
          <w:i/>
          <w:sz w:val="16"/>
          <w:szCs w:val="16"/>
        </w:rPr>
        <w:t xml:space="preserve"> контроля над информацией (данными) в результате внешнего воздействия (атаки) а также действий лица, имеющего легитимный доступ к информации или действий лица, получившего неправомерный доступ к такой информации.</w:t>
      </w:r>
    </w:p>
    <w:p w14:paraId="70D0DA2B" w14:textId="77777777" w:rsidR="000D6911" w:rsidRPr="00A97C8C" w:rsidRDefault="000D6911" w:rsidP="000D6911">
      <w:pPr>
        <w:spacing w:after="0"/>
        <w:rPr>
          <w:i/>
          <w:sz w:val="16"/>
          <w:szCs w:val="16"/>
        </w:rPr>
      </w:pPr>
      <w:r w:rsidRPr="00A97C8C">
        <w:rPr>
          <w:b/>
          <w:color w:val="007D32"/>
          <w:sz w:val="16"/>
          <w:szCs w:val="16"/>
        </w:rPr>
        <w:t>Деструктивные действия сотрудников</w:t>
      </w:r>
      <w:r w:rsidRPr="00A97C8C">
        <w:rPr>
          <w:i/>
          <w:sz w:val="16"/>
          <w:szCs w:val="16"/>
        </w:rPr>
        <w:t> — действия сотрудников, повлекшие компрометацию информации ограниченного доступа: использование информации ограниченного доступа в личных целях, сопряженное с мошенничеством; нелегитимный доступ к информации (превышение прав доступа).</w:t>
      </w:r>
    </w:p>
    <w:p w14:paraId="174E9358" w14:textId="77777777" w:rsidR="000D6911" w:rsidRPr="00A97C8C" w:rsidRDefault="000D6911" w:rsidP="000D6911">
      <w:pPr>
        <w:spacing w:after="0"/>
        <w:rPr>
          <w:i/>
          <w:sz w:val="16"/>
          <w:szCs w:val="16"/>
        </w:rPr>
      </w:pPr>
      <w:r w:rsidRPr="00A97C8C">
        <w:rPr>
          <w:b/>
          <w:color w:val="007D32"/>
          <w:sz w:val="16"/>
          <w:szCs w:val="16"/>
        </w:rPr>
        <w:t>Конфиденциальная информация</w:t>
      </w:r>
      <w:r>
        <w:rPr>
          <w:i/>
          <w:sz w:val="16"/>
          <w:szCs w:val="16"/>
        </w:rPr>
        <w:t> —</w:t>
      </w:r>
      <w:r w:rsidRPr="00A97C8C">
        <w:rPr>
          <w:i/>
          <w:sz w:val="16"/>
          <w:szCs w:val="16"/>
        </w:rPr>
        <w:t xml:space="preserve"> (здесь) информация, доступ к которой осуществляется строго ограниченным и известным кругом лиц с условием, что информация не будет передана третьим лицам без согласия владельца информации. В данном отчете в категорию КИ мы включаем информацию, подпадающую под определение персональных данных.</w:t>
      </w:r>
    </w:p>
    <w:p w14:paraId="3C7743DA" w14:textId="77777777" w:rsidR="000D6911" w:rsidRDefault="000D6911" w:rsidP="000D6911">
      <w:pPr>
        <w:spacing w:after="0"/>
        <w:rPr>
          <w:i/>
          <w:sz w:val="16"/>
          <w:szCs w:val="16"/>
        </w:rPr>
      </w:pPr>
      <w:r w:rsidRPr="00A97C8C">
        <w:rPr>
          <w:b/>
          <w:color w:val="007D32"/>
          <w:sz w:val="16"/>
          <w:szCs w:val="16"/>
        </w:rPr>
        <w:t>Умышленные/неумышленные утечк</w:t>
      </w:r>
      <w:r>
        <w:rPr>
          <w:b/>
          <w:color w:val="007D32"/>
          <w:sz w:val="16"/>
          <w:szCs w:val="16"/>
        </w:rPr>
        <w:t>и</w:t>
      </w:r>
      <w:r>
        <w:rPr>
          <w:i/>
          <w:sz w:val="16"/>
          <w:szCs w:val="16"/>
        </w:rPr>
        <w:t> —</w:t>
      </w:r>
      <w:r w:rsidRPr="00A97C8C">
        <w:rPr>
          <w:i/>
          <w:sz w:val="16"/>
          <w:szCs w:val="16"/>
        </w:rPr>
        <w:t xml:space="preserve"> </w:t>
      </w:r>
      <w:proofErr w:type="gramStart"/>
      <w:r w:rsidRPr="00A97C8C">
        <w:rPr>
          <w:i/>
          <w:sz w:val="16"/>
          <w:szCs w:val="16"/>
        </w:rPr>
        <w:t>к</w:t>
      </w:r>
      <w:proofErr w:type="gramEnd"/>
      <w:r w:rsidRPr="00A97C8C">
        <w:rPr>
          <w:i/>
          <w:sz w:val="16"/>
          <w:szCs w:val="16"/>
        </w:rPr>
        <w:t xml:space="preserve"> умышленным относятся такие утечки, когда пользователь, работающий с информацией, предполагал возможные негативные последствия своих действий, осознавал их противоправный характер, был предупрежден об ответственности и действовал из корыстных побуждений, преследуя личную выгоду. В результате создались условия для утраты контроля над информацией и/или нарушения конфиденциальности информации. При этом неважно, повлекли ли действия пользователя негативные последствия в действительности, равно как и то, понесла ли компания убытки, связанные с действиями пользователя. </w:t>
      </w:r>
    </w:p>
    <w:p w14:paraId="4672D477" w14:textId="77777777" w:rsidR="000D6911" w:rsidRPr="00A97C8C" w:rsidRDefault="000D6911" w:rsidP="000D6911">
      <w:pPr>
        <w:spacing w:after="0"/>
        <w:rPr>
          <w:i/>
          <w:sz w:val="16"/>
          <w:szCs w:val="16"/>
        </w:rPr>
      </w:pPr>
      <w:proofErr w:type="gramStart"/>
      <w:r w:rsidRPr="00A97C8C">
        <w:rPr>
          <w:i/>
          <w:sz w:val="16"/>
          <w:szCs w:val="16"/>
        </w:rPr>
        <w:t>К неумышленным относятся утечки информации, когда пользователь не предполагал наступления возможных негативных последствий своих действий и не преследовал личной выгоды.</w:t>
      </w:r>
      <w:proofErr w:type="gramEnd"/>
      <w:r w:rsidRPr="00A97C8C">
        <w:rPr>
          <w:i/>
          <w:sz w:val="16"/>
          <w:szCs w:val="16"/>
        </w:rPr>
        <w:t xml:space="preserve"> При этом неважно, имели ли действия пользователя негативные последствия в действительности, равно как и то, понесла ли компания убытки, связанные с действиями пользователя.</w:t>
      </w:r>
      <w:r w:rsidRPr="00A97C8C">
        <w:rPr>
          <w:sz w:val="16"/>
          <w:szCs w:val="16"/>
        </w:rPr>
        <w:t xml:space="preserve"> </w:t>
      </w:r>
      <w:r w:rsidRPr="00A97C8C">
        <w:rPr>
          <w:i/>
          <w:sz w:val="16"/>
          <w:szCs w:val="16"/>
        </w:rPr>
        <w:t>Термины умышленные – злонамеренные и неумышленные – случайные попарно равнозначны и употребляются здесь как синонимы.</w:t>
      </w:r>
    </w:p>
    <w:p w14:paraId="3E4DC401" w14:textId="77777777" w:rsidR="000D6911" w:rsidRPr="00A97C8C" w:rsidRDefault="000D6911" w:rsidP="000D6911">
      <w:pPr>
        <w:spacing w:after="0"/>
        <w:rPr>
          <w:i/>
          <w:sz w:val="16"/>
          <w:szCs w:val="16"/>
        </w:rPr>
      </w:pPr>
      <w:r w:rsidRPr="00A97C8C">
        <w:rPr>
          <w:b/>
          <w:color w:val="007D32"/>
          <w:sz w:val="16"/>
          <w:szCs w:val="16"/>
        </w:rPr>
        <w:t>Вектор воздействия</w:t>
      </w:r>
      <w:r w:rsidRPr="00A97C8C">
        <w:rPr>
          <w:i/>
          <w:sz w:val="16"/>
          <w:szCs w:val="16"/>
        </w:rPr>
        <w:t> — критерий классификации в отношении действий лиц, спровоцировавших утечку. Различаются действия внешних злоумышленников – (Внешние атаки), направленные «внутрь» компании, воздействующие на веб-ресурсы, информационную инфраструктуру с целью компрометации информации, и действия внутренних злоумышленников – (Внутренний нарушитель), атакующих системы защиты изнутри (нелегитимный доступ к закрытым ресурсам, неправомерные действия с инсайдерской информацией и проч.)</w:t>
      </w:r>
    </w:p>
    <w:p w14:paraId="48652DFC" w14:textId="77777777" w:rsidR="000D6911" w:rsidRPr="00A97C8C" w:rsidRDefault="000D6911" w:rsidP="000D6911">
      <w:pPr>
        <w:spacing w:after="0"/>
        <w:rPr>
          <w:i/>
          <w:sz w:val="16"/>
          <w:szCs w:val="16"/>
        </w:rPr>
      </w:pPr>
      <w:r w:rsidRPr="00A97C8C">
        <w:rPr>
          <w:b/>
          <w:color w:val="007D32"/>
          <w:sz w:val="16"/>
          <w:szCs w:val="16"/>
        </w:rPr>
        <w:t>Канал передачи данных</w:t>
      </w:r>
      <w:r w:rsidRPr="00A97C8C">
        <w:rPr>
          <w:i/>
          <w:sz w:val="16"/>
          <w:szCs w:val="16"/>
        </w:rPr>
        <w:t> — сценарий, в результате выполнения которого потерян контроль над информацией, нарушена ее конфиденциальность. На данный момент мы различаем 8 самостоятельных каналов:</w:t>
      </w:r>
    </w:p>
    <w:p w14:paraId="6CA1EB4B" w14:textId="77777777" w:rsidR="000D6911" w:rsidRPr="00A97C8C" w:rsidRDefault="000D6911" w:rsidP="000D6911">
      <w:pPr>
        <w:pStyle w:val="a"/>
        <w:numPr>
          <w:ilvl w:val="0"/>
          <w:numId w:val="4"/>
        </w:numPr>
        <w:spacing w:before="120" w:after="0"/>
        <w:contextualSpacing/>
        <w:rPr>
          <w:i/>
          <w:sz w:val="16"/>
          <w:szCs w:val="16"/>
        </w:rPr>
      </w:pPr>
      <w:r w:rsidRPr="00A97C8C">
        <w:rPr>
          <w:i/>
          <w:sz w:val="16"/>
          <w:szCs w:val="16"/>
        </w:rPr>
        <w:t>Кража/потеря оборудования (сервер, СХД, ноутбук, ПК), – компрометация информации в ходе обслуживания или потери оборудования.</w:t>
      </w:r>
    </w:p>
    <w:p w14:paraId="1ACC98C8" w14:textId="77777777" w:rsidR="000D6911" w:rsidRPr="00A97C8C" w:rsidRDefault="000D6911" w:rsidP="000D6911">
      <w:pPr>
        <w:pStyle w:val="a"/>
        <w:numPr>
          <w:ilvl w:val="0"/>
          <w:numId w:val="4"/>
        </w:numPr>
        <w:spacing w:before="120" w:after="0"/>
        <w:contextualSpacing/>
        <w:rPr>
          <w:i/>
          <w:sz w:val="16"/>
          <w:szCs w:val="16"/>
        </w:rPr>
      </w:pPr>
      <w:r w:rsidRPr="00A97C8C">
        <w:rPr>
          <w:i/>
          <w:sz w:val="16"/>
          <w:szCs w:val="16"/>
        </w:rPr>
        <w:t xml:space="preserve">Мобильные устройства – утечка информации вследствие нелегитимного использования мобильного устройства/кражи мобильного устройства (смартфоны, планшеты). Использование данных устройств рассматривается в рамках парадигмы </w:t>
      </w:r>
      <w:r w:rsidRPr="00A97C8C">
        <w:rPr>
          <w:i/>
          <w:sz w:val="16"/>
          <w:szCs w:val="16"/>
          <w:lang w:val="en-US"/>
        </w:rPr>
        <w:t>BYOD</w:t>
      </w:r>
      <w:r w:rsidRPr="00A97C8C">
        <w:rPr>
          <w:i/>
          <w:sz w:val="16"/>
          <w:szCs w:val="16"/>
        </w:rPr>
        <w:t>.</w:t>
      </w:r>
    </w:p>
    <w:p w14:paraId="360DDFF0" w14:textId="77777777" w:rsidR="000D6911" w:rsidRPr="00A97C8C" w:rsidRDefault="000D6911" w:rsidP="000D6911">
      <w:pPr>
        <w:pStyle w:val="a"/>
        <w:numPr>
          <w:ilvl w:val="0"/>
          <w:numId w:val="4"/>
        </w:numPr>
        <w:spacing w:before="120" w:after="0"/>
        <w:contextualSpacing/>
        <w:rPr>
          <w:i/>
          <w:sz w:val="16"/>
          <w:szCs w:val="16"/>
        </w:rPr>
      </w:pPr>
      <w:r w:rsidRPr="00A97C8C">
        <w:rPr>
          <w:i/>
          <w:sz w:val="16"/>
          <w:szCs w:val="16"/>
        </w:rPr>
        <w:t>Съемные носители – потеря/кража съемных носителей (</w:t>
      </w:r>
      <w:r w:rsidRPr="00A97C8C">
        <w:rPr>
          <w:i/>
          <w:sz w:val="16"/>
          <w:szCs w:val="16"/>
          <w:lang w:val="en-US"/>
        </w:rPr>
        <w:t>CD</w:t>
      </w:r>
      <w:r w:rsidRPr="00A97C8C">
        <w:rPr>
          <w:i/>
          <w:sz w:val="16"/>
          <w:szCs w:val="16"/>
        </w:rPr>
        <w:t xml:space="preserve">, </w:t>
      </w:r>
      <w:proofErr w:type="spellStart"/>
      <w:r w:rsidRPr="00A97C8C">
        <w:rPr>
          <w:i/>
          <w:sz w:val="16"/>
          <w:szCs w:val="16"/>
        </w:rPr>
        <w:t>флеш</w:t>
      </w:r>
      <w:proofErr w:type="spellEnd"/>
      <w:r w:rsidRPr="00A97C8C">
        <w:rPr>
          <w:i/>
          <w:sz w:val="16"/>
          <w:szCs w:val="16"/>
        </w:rPr>
        <w:t>-карты).</w:t>
      </w:r>
    </w:p>
    <w:p w14:paraId="4D54C544" w14:textId="77777777" w:rsidR="000D6911" w:rsidRPr="00A97C8C" w:rsidRDefault="000D6911" w:rsidP="000D6911">
      <w:pPr>
        <w:pStyle w:val="a"/>
        <w:numPr>
          <w:ilvl w:val="0"/>
          <w:numId w:val="4"/>
        </w:numPr>
        <w:spacing w:before="120" w:after="0"/>
        <w:contextualSpacing/>
        <w:rPr>
          <w:i/>
          <w:sz w:val="16"/>
          <w:szCs w:val="16"/>
        </w:rPr>
      </w:pPr>
      <w:r w:rsidRPr="00A97C8C">
        <w:rPr>
          <w:i/>
          <w:sz w:val="16"/>
          <w:szCs w:val="16"/>
        </w:rPr>
        <w:t xml:space="preserve">Сеть – утечка через браузер (отправка данных в личную почту, формы ввода в браузере), нелегитимное использование внутренних ресурсов сети, </w:t>
      </w:r>
      <w:r w:rsidRPr="00A97C8C">
        <w:rPr>
          <w:i/>
          <w:sz w:val="16"/>
          <w:szCs w:val="16"/>
          <w:lang w:val="en-US"/>
        </w:rPr>
        <w:t>FTP</w:t>
      </w:r>
      <w:r w:rsidRPr="00A97C8C">
        <w:rPr>
          <w:i/>
          <w:sz w:val="16"/>
          <w:szCs w:val="16"/>
        </w:rPr>
        <w:t>, облачных сервисов, нелегитимная публикация информации на веб-сервисе.</w:t>
      </w:r>
    </w:p>
    <w:p w14:paraId="48209BB1" w14:textId="77777777" w:rsidR="000D6911" w:rsidRPr="00A97C8C" w:rsidRDefault="000D6911" w:rsidP="000D6911">
      <w:pPr>
        <w:pStyle w:val="a"/>
        <w:numPr>
          <w:ilvl w:val="0"/>
          <w:numId w:val="4"/>
        </w:numPr>
        <w:spacing w:before="120" w:after="0"/>
        <w:contextualSpacing/>
        <w:rPr>
          <w:i/>
          <w:sz w:val="16"/>
          <w:szCs w:val="16"/>
        </w:rPr>
      </w:pPr>
      <w:r w:rsidRPr="00A97C8C">
        <w:rPr>
          <w:i/>
          <w:sz w:val="16"/>
          <w:szCs w:val="16"/>
        </w:rPr>
        <w:t>Электронная почта – утечка данных через корпоративную электронную почту.</w:t>
      </w:r>
    </w:p>
    <w:p w14:paraId="2601B4E9" w14:textId="77777777" w:rsidR="000D6911" w:rsidRPr="00A97C8C" w:rsidRDefault="000D6911" w:rsidP="000D6911">
      <w:pPr>
        <w:pStyle w:val="a"/>
        <w:numPr>
          <w:ilvl w:val="0"/>
          <w:numId w:val="4"/>
        </w:numPr>
        <w:spacing w:before="120" w:after="0"/>
        <w:contextualSpacing/>
        <w:rPr>
          <w:i/>
          <w:sz w:val="16"/>
          <w:szCs w:val="16"/>
        </w:rPr>
      </w:pPr>
      <w:r w:rsidRPr="00A97C8C">
        <w:rPr>
          <w:i/>
          <w:sz w:val="16"/>
          <w:szCs w:val="16"/>
        </w:rPr>
        <w:t>Бумажные документы – утечка информации вследствие неправильного хранения/утилизации бумажной документации, через печатающие устройства (отправка на печать и кража/вынос конфиденциальной информации).</w:t>
      </w:r>
    </w:p>
    <w:p w14:paraId="2A861FCB" w14:textId="77777777" w:rsidR="000D6911" w:rsidRPr="00A97C8C" w:rsidRDefault="000D6911" w:rsidP="000D6911">
      <w:pPr>
        <w:pStyle w:val="a"/>
        <w:numPr>
          <w:ilvl w:val="0"/>
          <w:numId w:val="4"/>
        </w:numPr>
        <w:spacing w:before="120" w:after="0"/>
        <w:contextualSpacing/>
        <w:rPr>
          <w:i/>
          <w:sz w:val="16"/>
          <w:szCs w:val="16"/>
        </w:rPr>
      </w:pPr>
      <w:r w:rsidRPr="00A97C8C">
        <w:rPr>
          <w:i/>
          <w:sz w:val="16"/>
          <w:szCs w:val="16"/>
          <w:lang w:val="en-US"/>
        </w:rPr>
        <w:t>IM</w:t>
      </w:r>
      <w:r w:rsidRPr="00A97C8C">
        <w:rPr>
          <w:i/>
          <w:sz w:val="16"/>
          <w:szCs w:val="16"/>
        </w:rPr>
        <w:t xml:space="preserve"> – мессенджеры, сервисы мгновенных сообщений (утечка информации при передаче голосом, текстом, видео при использовании сервисов мгновенных сообщений).</w:t>
      </w:r>
    </w:p>
    <w:p w14:paraId="767E7DB8" w14:textId="77777777" w:rsidR="000D6911" w:rsidRPr="00A97C8C" w:rsidRDefault="000D6911" w:rsidP="000D6911">
      <w:pPr>
        <w:pStyle w:val="a"/>
        <w:numPr>
          <w:ilvl w:val="0"/>
          <w:numId w:val="4"/>
        </w:numPr>
        <w:spacing w:before="120" w:after="0"/>
        <w:contextualSpacing/>
        <w:rPr>
          <w:i/>
          <w:sz w:val="16"/>
          <w:szCs w:val="16"/>
        </w:rPr>
      </w:pPr>
      <w:r w:rsidRPr="00A97C8C">
        <w:rPr>
          <w:i/>
          <w:sz w:val="16"/>
          <w:szCs w:val="16"/>
        </w:rPr>
        <w:t>Не определено - категория, используемая в случае, когда сообщение об инциденте в СМИ не позволяет точно определить канал утечки».</w:t>
      </w:r>
    </w:p>
    <w:p w14:paraId="7F204F8E" w14:textId="77777777" w:rsidR="00CA2188" w:rsidRPr="00CA2188" w:rsidRDefault="00CA2188" w:rsidP="00CA2188"/>
    <w:sectPr w:rsidR="00CA2188" w:rsidRPr="00CA2188" w:rsidSect="00565CEB">
      <w:headerReference w:type="default" r:id="rId49"/>
      <w:footerReference w:type="default" r:id="rId50"/>
      <w:headerReference w:type="first" r:id="rId51"/>
      <w:footerReference w:type="first" r:id="rId52"/>
      <w:pgSz w:w="11905" w:h="16837"/>
      <w:pgMar w:top="1440" w:right="1077" w:bottom="851" w:left="1077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C6552B" w14:textId="77777777" w:rsidR="00AC1C05" w:rsidRDefault="00AC1C05" w:rsidP="00881AF8">
      <w:r>
        <w:separator/>
      </w:r>
    </w:p>
  </w:endnote>
  <w:endnote w:type="continuationSeparator" w:id="0">
    <w:p w14:paraId="5976D1AD" w14:textId="77777777" w:rsidR="00AC1C05" w:rsidRDefault="00AC1C05" w:rsidP="00881AF8">
      <w:r>
        <w:continuationSeparator/>
      </w:r>
    </w:p>
  </w:endnote>
  <w:endnote w:type="continuationNotice" w:id="1">
    <w:p w14:paraId="222396FD" w14:textId="77777777" w:rsidR="00AC1C05" w:rsidRDefault="00AC1C05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Times New Roman"/>
    <w:charset w:val="CC"/>
    <w:family w:val="swiss"/>
    <w:pitch w:val="variable"/>
    <w:sig w:usb0="E7002EFF" w:usb1="5200FDFF" w:usb2="0A242021" w:usb3="00000000" w:csb0="000001FF" w:csb1="00000000"/>
  </w:font>
  <w:font w:name="FreeSans">
    <w:altName w:val="Arial Unicode MS"/>
    <w:charset w:val="80"/>
    <w:family w:val="swiss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eeSerif">
    <w:altName w:val="MS Mincho"/>
    <w:charset w:val="80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2930691"/>
      <w:docPartObj>
        <w:docPartGallery w:val="Page Numbers (Bottom of Page)"/>
        <w:docPartUnique/>
      </w:docPartObj>
    </w:sdtPr>
    <w:sdtEndPr/>
    <w:sdtContent>
      <w:p w14:paraId="0688A631" w14:textId="6F26ABE2" w:rsidR="00BE3A9A" w:rsidRPr="00630089" w:rsidRDefault="00BE3A9A" w:rsidP="00630089">
        <w:pPr>
          <w:pStyle w:val="af"/>
          <w:jc w:val="right"/>
        </w:pPr>
        <w:r w:rsidRPr="001C72AC">
          <w:rPr>
            <w:kern w:val="24"/>
          </w:rPr>
          <w:fldChar w:fldCharType="begin"/>
        </w:r>
        <w:r w:rsidRPr="001C72AC">
          <w:rPr>
            <w:kern w:val="24"/>
          </w:rPr>
          <w:instrText>PAGE   \* MERGEFORMAT</w:instrText>
        </w:r>
        <w:r w:rsidRPr="001C72AC">
          <w:rPr>
            <w:kern w:val="24"/>
          </w:rPr>
          <w:fldChar w:fldCharType="separate"/>
        </w:r>
        <w:r w:rsidR="00DD55DF">
          <w:rPr>
            <w:noProof/>
            <w:kern w:val="24"/>
          </w:rPr>
          <w:t>3</w:t>
        </w:r>
        <w:r w:rsidRPr="001C72AC">
          <w:rPr>
            <w:kern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5AF923" w14:textId="0B8683C0" w:rsidR="00BE3A9A" w:rsidRPr="00DC490E" w:rsidRDefault="00BE3A9A" w:rsidP="00630089">
    <w:pPr>
      <w:pStyle w:val="af"/>
      <w:spacing w:before="0" w:after="3720"/>
      <w:jc w:val="center"/>
      <w:rPr>
        <w:noProof/>
        <w:lang w:val="en-US"/>
      </w:rPr>
    </w:pPr>
    <w:r w:rsidRPr="00DC490E">
      <w:rPr>
        <w:noProof/>
      </w:rPr>
      <w:drawing>
        <wp:anchor distT="0" distB="0" distL="114300" distR="114300" simplePos="0" relativeHeight="251658242" behindDoc="0" locked="0" layoutInCell="1" allowOverlap="1" wp14:anchorId="28A0C4F8" wp14:editId="2E56F90E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714800" cy="2455200"/>
          <wp:effectExtent l="0" t="0" r="635" b="2540"/>
          <wp:wrapSquare wrapText="bothSides"/>
          <wp:docPr id="17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4800" cy="2455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C490E">
      <w:rPr>
        <w:noProof/>
      </w:rPr>
      <w:t xml:space="preserve">© Аналитический центр </w:t>
    </w:r>
    <w:r w:rsidRPr="00DC490E">
      <w:rPr>
        <w:noProof/>
        <w:lang w:val="en-US"/>
      </w:rPr>
      <w:t>InfoWatch</w:t>
    </w:r>
    <w:r>
      <w:rPr>
        <w:noProof/>
      </w:rPr>
      <w:t>. 2018</w:t>
    </w:r>
    <w:r w:rsidRPr="00DC490E">
      <w:rPr>
        <w:noProof/>
      </w:rPr>
      <w:t xml:space="preserve"> г.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8E061F" w14:textId="77777777" w:rsidR="00AC1C05" w:rsidRDefault="00AC1C05" w:rsidP="00881AF8">
      <w:r>
        <w:separator/>
      </w:r>
    </w:p>
  </w:footnote>
  <w:footnote w:type="continuationSeparator" w:id="0">
    <w:p w14:paraId="68CD0E73" w14:textId="77777777" w:rsidR="00AC1C05" w:rsidRDefault="00AC1C05" w:rsidP="00881AF8">
      <w:r>
        <w:continuationSeparator/>
      </w:r>
    </w:p>
  </w:footnote>
  <w:footnote w:type="continuationNotice" w:id="1">
    <w:p w14:paraId="0EECEB61" w14:textId="77777777" w:rsidR="00AC1C05" w:rsidRDefault="00AC1C05">
      <w:pPr>
        <w:spacing w:before="0" w:after="0"/>
      </w:pPr>
    </w:p>
  </w:footnote>
  <w:footnote w:id="2">
    <w:p w14:paraId="3EA9B0F3" w14:textId="77777777" w:rsidR="00BE3A9A" w:rsidRDefault="00BE3A9A" w:rsidP="000406EC">
      <w:pPr>
        <w:pStyle w:val="a9"/>
      </w:pPr>
      <w:r>
        <w:rPr>
          <w:rStyle w:val="a5"/>
        </w:rPr>
        <w:footnoteRef/>
      </w:r>
      <w:r>
        <w:t xml:space="preserve"> У</w:t>
      </w:r>
      <w:r w:rsidRPr="00CB7F7A">
        <w:t>теч</w:t>
      </w:r>
      <w:r>
        <w:t>ки</w:t>
      </w:r>
      <w:r w:rsidRPr="00CB7F7A">
        <w:t xml:space="preserve">, случившихся по вине или по неосторожности внутренних нарушителей — сотрудников организаций, </w:t>
      </w:r>
      <w:proofErr w:type="gramStart"/>
      <w:r w:rsidRPr="00CB7F7A">
        <w:t>топ-менеджеров</w:t>
      </w:r>
      <w:proofErr w:type="gramEnd"/>
      <w:r w:rsidRPr="00CB7F7A">
        <w:t xml:space="preserve"> и иных привилегированных пользователей, подрядчиков</w:t>
      </w:r>
      <w:r>
        <w:t>, имевших легитимный доступ (или возможность его получить) к информации, которая была скомпрометирована в результате утечки.</w:t>
      </w:r>
    </w:p>
  </w:footnote>
  <w:footnote w:id="3">
    <w:p w14:paraId="150B9327" w14:textId="77777777" w:rsidR="00BE3A9A" w:rsidRDefault="00BE3A9A" w:rsidP="00CA162D">
      <w:pPr>
        <w:pStyle w:val="a9"/>
      </w:pPr>
      <w:r>
        <w:rPr>
          <w:rStyle w:val="a5"/>
        </w:rPr>
        <w:footnoteRef/>
      </w:r>
      <w:r>
        <w:t xml:space="preserve"> Сообщения об утечках данных, опубликованные официальными ведомствами, СМИ, авторами записей в блогах, </w:t>
      </w:r>
      <w:proofErr w:type="gramStart"/>
      <w:r>
        <w:t>интернет-форумах</w:t>
      </w:r>
      <w:proofErr w:type="gramEnd"/>
      <w:r>
        <w:t>, иных открытых источниках.</w:t>
      </w:r>
    </w:p>
  </w:footnote>
  <w:footnote w:id="4">
    <w:p w14:paraId="781901C7" w14:textId="77777777" w:rsidR="00BE3A9A" w:rsidRDefault="00BE3A9A" w:rsidP="00CA162D">
      <w:pPr>
        <w:pStyle w:val="a9"/>
      </w:pPr>
      <w:r>
        <w:rPr>
          <w:rStyle w:val="a5"/>
        </w:rPr>
        <w:footnoteRef/>
      </w:r>
      <w:r>
        <w:t xml:space="preserve"> </w:t>
      </w:r>
      <w:r w:rsidRPr="00AF3279">
        <w:t>Утечка информации</w:t>
      </w:r>
      <w:r>
        <w:t xml:space="preserve"> (данных)</w:t>
      </w:r>
      <w:r w:rsidRPr="00AF3279">
        <w:t xml:space="preserve"> </w:t>
      </w:r>
      <w:r>
        <w:t xml:space="preserve">– утрата контроля над информацией (данными) в результате внешнего воздействия (атаки) а также действий </w:t>
      </w:r>
      <w:r w:rsidRPr="00AF3279">
        <w:t>лица, имеющего легитимный доступ к информации</w:t>
      </w:r>
      <w:r>
        <w:t xml:space="preserve"> или действий лица, получившего неправомерный доступ к такой информации.</w:t>
      </w:r>
    </w:p>
  </w:footnote>
  <w:footnote w:id="5">
    <w:p w14:paraId="72661B7D" w14:textId="77777777" w:rsidR="00BE3A9A" w:rsidRDefault="00BE3A9A" w:rsidP="00CA162D">
      <w:pPr>
        <w:pStyle w:val="a9"/>
      </w:pPr>
      <w:r>
        <w:rPr>
          <w:rStyle w:val="a5"/>
        </w:rPr>
        <w:footnoteRef/>
      </w:r>
      <w:r>
        <w:t xml:space="preserve"> Утечки данных разделяются на умышленные (злонамеренные) и неумышленные (случайные) в зависимости от наличия вины в действиях лица, которые привели к утечке данных. Термины умышленные – злонамеренные и неумышленные – случайные попарно равнозначны и употребляются здесь как синонимы.</w:t>
      </w:r>
    </w:p>
  </w:footnote>
  <w:footnote w:id="6">
    <w:p w14:paraId="52396F56" w14:textId="77777777" w:rsidR="00BE3A9A" w:rsidRDefault="00BE3A9A" w:rsidP="00CA162D">
      <w:pPr>
        <w:pStyle w:val="a9"/>
      </w:pPr>
      <w:r>
        <w:rPr>
          <w:rStyle w:val="a5"/>
        </w:rPr>
        <w:footnoteRef/>
      </w:r>
      <w:r>
        <w:t xml:space="preserve"> Авторы классифицируют утечки по виновнику (источнику) инцидента. Наряду с внутренними нарушителями, в данную классификацию попадает внешний нарушитель.</w:t>
      </w:r>
    </w:p>
  </w:footnote>
  <w:footnote w:id="7">
    <w:p w14:paraId="007129DC" w14:textId="77777777" w:rsidR="00BE3A9A" w:rsidRPr="009A65B8" w:rsidRDefault="00BE3A9A" w:rsidP="00CA162D">
      <w:pPr>
        <w:pStyle w:val="a9"/>
      </w:pPr>
      <w:r>
        <w:rPr>
          <w:rStyle w:val="a5"/>
        </w:rPr>
        <w:footnoteRef/>
      </w:r>
      <w:r>
        <w:t xml:space="preserve"> Аналитики центра </w:t>
      </w:r>
      <w:r>
        <w:rPr>
          <w:lang w:val="en-US"/>
        </w:rPr>
        <w:t>InfoWatch</w:t>
      </w:r>
      <w:r>
        <w:t xml:space="preserve"> классифицируют организации по размеру в зависимости от известного либо предполагаемого парка персональных компьютеров (ПК). Небольшие компании – до 50 ПК, средние  - от 50 до 500 ПК, крупные – свыше 500 ПК.</w:t>
      </w:r>
    </w:p>
  </w:footnote>
  <w:footnote w:id="8">
    <w:p w14:paraId="105F9AD1" w14:textId="77777777" w:rsidR="00BE3A9A" w:rsidRDefault="00BE3A9A" w:rsidP="00CA162D">
      <w:pPr>
        <w:pStyle w:val="a9"/>
      </w:pPr>
      <w:r>
        <w:rPr>
          <w:rStyle w:val="a5"/>
        </w:rPr>
        <w:footnoteRef/>
      </w:r>
      <w:r>
        <w:t xml:space="preserve"> </w:t>
      </w:r>
      <w:r w:rsidRPr="00784996">
        <w:t>Данные об ущербе и количестве скомпрометированных записей взяты непосредственно из публикаций в СМИ.</w:t>
      </w:r>
    </w:p>
  </w:footnote>
  <w:footnote w:id="9">
    <w:p w14:paraId="3EC2F8C0" w14:textId="77777777" w:rsidR="00BE3A9A" w:rsidRDefault="00BE3A9A" w:rsidP="00CA162D">
      <w:pPr>
        <w:pStyle w:val="a9"/>
      </w:pPr>
      <w:r>
        <w:rPr>
          <w:rStyle w:val="a5"/>
        </w:rPr>
        <w:footnoteRef/>
      </w:r>
      <w:r>
        <w:t xml:space="preserve"> Под каналом утечки мы понимаем такой сценарий (совокупность действий пользователя корпоративной информационной системы, направленных на оборудование или программные сервисы), в результате выполнения которого потерян контроль над информацией, нарушена ее конфиденциальность. Каналы утечек определяются только для таких утечек, которые спровоцированы действиями внутреннего нарушителя.</w:t>
      </w:r>
    </w:p>
  </w:footnote>
  <w:footnote w:id="10">
    <w:p w14:paraId="58CDC543" w14:textId="77777777" w:rsidR="00BE3A9A" w:rsidRDefault="00BE3A9A" w:rsidP="00CA162D">
      <w:pPr>
        <w:pStyle w:val="a9"/>
      </w:pPr>
      <w:r>
        <w:rPr>
          <w:rStyle w:val="a5"/>
        </w:rPr>
        <w:footnoteRef/>
      </w:r>
      <w:r>
        <w:t xml:space="preserve"> Вектор воздействия – признак действий лиц, спровоцировавших утечку. Различаются действия внешних злоумышленников, направленные «внутрь» компании, воздействующие на веб-ресурсы, информационную инфраструктуру с целью компрометации информации, и действия внутренних злоумышленников, атакующих системы защиты изнутри (нелегитимный доступ к ресурсам, неправомерные действия с инсайдерской информацией и проч.).</w:t>
      </w:r>
    </w:p>
  </w:footnote>
  <w:footnote w:id="11">
    <w:p w14:paraId="0CE510F8" w14:textId="77777777" w:rsidR="00BE3A9A" w:rsidRDefault="00BE3A9A" w:rsidP="00D54EFE">
      <w:pPr>
        <w:pStyle w:val="a9"/>
      </w:pPr>
      <w:r>
        <w:rPr>
          <w:rStyle w:val="a5"/>
        </w:rPr>
        <w:footnoteRef/>
      </w:r>
      <w:r>
        <w:t xml:space="preserve"> </w:t>
      </w:r>
      <w:r w:rsidRPr="0045681F">
        <w:t>Например, разрез по вектору воздействия, куда входят утечки под воздействием внешних атак и внутреннего нарушителя, не содержит утечек, для которых вектор не удалось определить. То же справедливо для распределений по виновнику, умыслу и другим критериям.</w:t>
      </w:r>
    </w:p>
  </w:footnote>
  <w:footnote w:id="12">
    <w:p w14:paraId="56A869F6" w14:textId="611AA785" w:rsidR="00BE3A9A" w:rsidRDefault="00BE3A9A">
      <w:pPr>
        <w:pStyle w:val="a9"/>
      </w:pPr>
      <w:r>
        <w:rPr>
          <w:rStyle w:val="a5"/>
        </w:rPr>
        <w:footnoteRef/>
      </w:r>
      <w:r>
        <w:t xml:space="preserve"> </w:t>
      </w:r>
      <w:r w:rsidRPr="00933896">
        <w:t>До 2014 года методология исследования не предусматривала распределение утечек на «внешние» и «внутренние».</w:t>
      </w:r>
    </w:p>
  </w:footnote>
  <w:footnote w:id="13">
    <w:p w14:paraId="52DBD548" w14:textId="5DD355B1" w:rsidR="00BE3A9A" w:rsidRDefault="00BE3A9A">
      <w:pPr>
        <w:pStyle w:val="a9"/>
      </w:pPr>
      <w:r>
        <w:rPr>
          <w:rStyle w:val="a5"/>
        </w:rPr>
        <w:footnoteRef/>
      </w:r>
      <w:r>
        <w:t xml:space="preserve"> </w:t>
      </w:r>
      <w:r w:rsidRPr="00585EB9">
        <w:t>Вектор воздействия – признак действий лиц, спровоцировавших утечку. Различаются действия внешних злоумышленников, направленные «внутрь» компании, воздействующие на веб-ресурсы, информационную инфраструктуру с целью компрометации информации, и действия внутренних злоумышленников, атакующих системы защиты изнутри (нелегитимный доступ к закрытым ресурсам, неправомерные действия с инсайдерской информацией и проч.).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9"/>
      <w:tblW w:w="11624" w:type="dxa"/>
      <w:tblInd w:w="-10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931"/>
      <w:gridCol w:w="2693"/>
    </w:tblGrid>
    <w:tr w:rsidR="00BE3A9A" w14:paraId="59C5A108" w14:textId="77777777" w:rsidTr="00DC490E">
      <w:tc>
        <w:tcPr>
          <w:tcW w:w="8931" w:type="dxa"/>
        </w:tcPr>
        <w:p w14:paraId="5339CB66" w14:textId="3777E6EF" w:rsidR="00BE3A9A" w:rsidRPr="008F2351" w:rsidRDefault="00BE3A9A" w:rsidP="00E34C06">
          <w:pPr>
            <w:pStyle w:val="af8"/>
            <w:jc w:val="right"/>
            <w:rPr>
              <w:sz w:val="24"/>
              <w:szCs w:val="20"/>
            </w:rPr>
          </w:pPr>
          <w:r w:rsidRPr="008F2351">
            <w:rPr>
              <w:sz w:val="24"/>
              <w:szCs w:val="20"/>
            </w:rPr>
            <w:t>Аналитический центр InfoWatch</w:t>
          </w:r>
        </w:p>
        <w:p w14:paraId="13E99E28" w14:textId="77777777" w:rsidR="00BE3A9A" w:rsidRDefault="00BE3A9A" w:rsidP="009C0127">
          <w:pPr>
            <w:pStyle w:val="af8"/>
            <w:jc w:val="right"/>
            <w:rPr>
              <w:sz w:val="24"/>
              <w:szCs w:val="20"/>
            </w:rPr>
          </w:pPr>
          <w:r w:rsidRPr="009E7A71">
            <w:rPr>
              <w:sz w:val="24"/>
              <w:szCs w:val="20"/>
            </w:rPr>
            <w:t>Утечки данных организаций по вине</w:t>
          </w:r>
          <w:r>
            <w:rPr>
              <w:sz w:val="24"/>
              <w:szCs w:val="20"/>
            </w:rPr>
            <w:t xml:space="preserve"> </w:t>
          </w:r>
          <w:r w:rsidRPr="009E7A71">
            <w:rPr>
              <w:sz w:val="24"/>
              <w:szCs w:val="20"/>
            </w:rPr>
            <w:t>или неосторожности</w:t>
          </w:r>
        </w:p>
        <w:p w14:paraId="07904FCE" w14:textId="5BC43192" w:rsidR="00BE3A9A" w:rsidRDefault="00BE3A9A" w:rsidP="009C0127">
          <w:pPr>
            <w:pStyle w:val="af8"/>
            <w:jc w:val="right"/>
            <w:rPr>
              <w:sz w:val="24"/>
              <w:szCs w:val="20"/>
            </w:rPr>
          </w:pPr>
          <w:r w:rsidRPr="009E7A71">
            <w:rPr>
              <w:sz w:val="24"/>
              <w:szCs w:val="20"/>
            </w:rPr>
            <w:t>внутреннего нарушителя</w:t>
          </w:r>
          <w:r>
            <w:rPr>
              <w:sz w:val="24"/>
              <w:szCs w:val="20"/>
            </w:rPr>
            <w:t>. 2013-2017 гг.</w:t>
          </w:r>
        </w:p>
        <w:p w14:paraId="66967E3C" w14:textId="3A1525F3" w:rsidR="00BE3A9A" w:rsidRPr="008F2351" w:rsidRDefault="00BE3A9A" w:rsidP="00040589">
          <w:pPr>
            <w:pStyle w:val="af8"/>
            <w:jc w:val="right"/>
            <w:rPr>
              <w:sz w:val="20"/>
              <w:szCs w:val="20"/>
            </w:rPr>
          </w:pPr>
          <w:r>
            <w:rPr>
              <w:noProof/>
              <w:sz w:val="24"/>
              <w:szCs w:val="20"/>
              <w:lang w:eastAsia="ru-RU"/>
            </w:rPr>
            <w:drawing>
              <wp:inline distT="0" distB="0" distL="0" distR="0" wp14:anchorId="5BE344BE" wp14:editId="38D1158D">
                <wp:extent cx="5611495" cy="613410"/>
                <wp:effectExtent l="0" t="0" r="8255" b="0"/>
                <wp:docPr id="4" name="Рисунок 4" descr="C:\Users\khayruk.IW\Desktop\cove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 descr="C:\Users\khayruk.IW\Desktop\cove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1495" cy="613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</w:tcPr>
        <w:p w14:paraId="3675A19C" w14:textId="0DE320EA" w:rsidR="00BE3A9A" w:rsidRDefault="00BE3A9A" w:rsidP="00E34C06">
          <w:pPr>
            <w:pStyle w:val="af8"/>
            <w:jc w:val="right"/>
          </w:pPr>
          <w:r>
            <w:rPr>
              <w:noProof/>
              <w:lang w:eastAsia="ru-RU"/>
            </w:rPr>
            <w:drawing>
              <wp:anchor distT="0" distB="0" distL="114300" distR="114300" simplePos="0" relativeHeight="251670528" behindDoc="0" locked="0" layoutInCell="1" allowOverlap="1" wp14:anchorId="444A6B27" wp14:editId="3E2A70C8">
                <wp:simplePos x="0" y="0"/>
                <wp:positionH relativeFrom="column">
                  <wp:posOffset>-68580</wp:posOffset>
                </wp:positionH>
                <wp:positionV relativeFrom="paragraph">
                  <wp:posOffset>18415</wp:posOffset>
                </wp:positionV>
                <wp:extent cx="1280795" cy="1031240"/>
                <wp:effectExtent l="0" t="0" r="0" b="0"/>
                <wp:wrapSquare wrapText="bothSides"/>
                <wp:docPr id="2" name="Рисунок 2" descr="http://www.infowatch.ru/sites/default/files/miscellaneous/Logos&amp;images_InfoWatch/0915/logo_IW_rus_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ttp://www.infowatch.ru/sites/default/files/miscellaneous/Logos&amp;images_InfoWatch/0915/logo_IW_rus_v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0795" cy="1031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563CAC6E" w14:textId="77777777" w:rsidR="00BE3A9A" w:rsidRDefault="00BE3A9A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6BC0D4" w14:textId="0A980323" w:rsidR="00BE3A9A" w:rsidRPr="00DC490E" w:rsidRDefault="00BE3A9A" w:rsidP="00593ED5">
    <w:pPr>
      <w:spacing w:before="1440" w:after="0"/>
    </w:pPr>
    <w:r w:rsidRPr="00DC490E">
      <w:rPr>
        <w:noProof/>
      </w:rPr>
      <w:drawing>
        <wp:anchor distT="0" distB="0" distL="114300" distR="114300" simplePos="0" relativeHeight="251658241" behindDoc="0" locked="0" layoutInCell="1" allowOverlap="1" wp14:anchorId="512CE508" wp14:editId="4157BCFB">
          <wp:simplePos x="0" y="0"/>
          <wp:positionH relativeFrom="column">
            <wp:posOffset>5019675</wp:posOffset>
          </wp:positionH>
          <wp:positionV relativeFrom="paragraph">
            <wp:posOffset>13335</wp:posOffset>
          </wp:positionV>
          <wp:extent cx="1280795" cy="1031240"/>
          <wp:effectExtent l="0" t="0" r="0" b="0"/>
          <wp:wrapSquare wrapText="bothSides"/>
          <wp:docPr id="5" name="Рисунок 5" descr="http://www.infowatch.ru/sites/default/files/miscellaneous/Logos&amp;images_InfoWatch/0915/logo_IW_rus_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infowatch.ru/sites/default/files/miscellaneous/Logos&amp;images_InfoWatch/0915/logo_IW_rus_v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795" cy="1031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4A312E" w14:textId="77777777" w:rsidR="00BE3A9A" w:rsidRDefault="00BE3A9A" w:rsidP="00DA01AE">
    <w:pPr>
      <w:spacing w:before="0"/>
      <w:jc w:val="right"/>
    </w:pPr>
    <w:r w:rsidRPr="00CE5D16">
      <w:t>Аналитический центр InfoWatch</w:t>
    </w:r>
  </w:p>
  <w:p w14:paraId="5D2217F5" w14:textId="6B28105C" w:rsidR="00BE3A9A" w:rsidRPr="00593ED5" w:rsidRDefault="00BE3A9A" w:rsidP="00593ED5">
    <w:pPr>
      <w:spacing w:before="0"/>
      <w:jc w:val="right"/>
      <w:rPr>
        <w:color w:val="007D32"/>
        <w:u w:val="single"/>
      </w:rPr>
    </w:pPr>
    <w:r w:rsidRPr="00CE5D16">
      <w:rPr>
        <w:rStyle w:val="af1"/>
      </w:rPr>
      <w:t>www.infowatch.ru/analytics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32A2DEB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994AB4"/>
    <w:multiLevelType w:val="hybridMultilevel"/>
    <w:tmpl w:val="923A68C8"/>
    <w:lvl w:ilvl="0" w:tplc="4C360C6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7D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CD72EB"/>
    <w:multiLevelType w:val="hybridMultilevel"/>
    <w:tmpl w:val="CEAC5A3A"/>
    <w:lvl w:ilvl="0" w:tplc="4C360C6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7D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093596"/>
    <w:multiLevelType w:val="hybridMultilevel"/>
    <w:tmpl w:val="5D526E6E"/>
    <w:lvl w:ilvl="0" w:tplc="E1A65D72">
      <w:numFmt w:val="bullet"/>
      <w:lvlText w:val="—"/>
      <w:lvlJc w:val="left"/>
      <w:pPr>
        <w:ind w:left="720" w:hanging="360"/>
      </w:pPr>
      <w:rPr>
        <w:rFonts w:ascii="Arial" w:eastAsia="DejaVu Sans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AC14BC"/>
    <w:multiLevelType w:val="hybridMultilevel"/>
    <w:tmpl w:val="0A500FBC"/>
    <w:lvl w:ilvl="0" w:tplc="808AAA8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6C4D82"/>
    <w:multiLevelType w:val="hybridMultilevel"/>
    <w:tmpl w:val="4F3C21E0"/>
    <w:lvl w:ilvl="0" w:tplc="F52AD9CE">
      <w:numFmt w:val="bullet"/>
      <w:lvlText w:val="—"/>
      <w:lvlJc w:val="left"/>
      <w:pPr>
        <w:ind w:left="1080" w:hanging="360"/>
      </w:pPr>
      <w:rPr>
        <w:rFonts w:ascii="Arial" w:eastAsia="DejaVu Sans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B815AC4"/>
    <w:multiLevelType w:val="hybridMultilevel"/>
    <w:tmpl w:val="04300CE6"/>
    <w:lvl w:ilvl="0" w:tplc="21F6650E">
      <w:start w:val="1"/>
      <w:numFmt w:val="bullet"/>
      <w:pStyle w:val="a"/>
      <w:lvlText w:val=""/>
      <w:lvlJc w:val="left"/>
      <w:pPr>
        <w:ind w:left="720" w:hanging="360"/>
      </w:pPr>
      <w:rPr>
        <w:rFonts w:ascii="Wingdings" w:hAnsi="Wingdings" w:hint="default"/>
        <w:color w:val="007D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F8619F"/>
    <w:multiLevelType w:val="hybridMultilevel"/>
    <w:tmpl w:val="C57A71C8"/>
    <w:lvl w:ilvl="0" w:tplc="041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7"/>
  </w:num>
  <w:num w:numId="6">
    <w:abstractNumId w:val="4"/>
  </w:num>
  <w:num w:numId="7">
    <w:abstractNumId w:val="5"/>
  </w:num>
  <w:num w:numId="8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trackRevisions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D97"/>
    <w:rsid w:val="00000584"/>
    <w:rsid w:val="000008EF"/>
    <w:rsid w:val="00001491"/>
    <w:rsid w:val="00001502"/>
    <w:rsid w:val="00001D06"/>
    <w:rsid w:val="0000229F"/>
    <w:rsid w:val="00002327"/>
    <w:rsid w:val="00002342"/>
    <w:rsid w:val="000028DA"/>
    <w:rsid w:val="00002B12"/>
    <w:rsid w:val="00004A81"/>
    <w:rsid w:val="00004D08"/>
    <w:rsid w:val="000054B7"/>
    <w:rsid w:val="0000629A"/>
    <w:rsid w:val="00006AD2"/>
    <w:rsid w:val="00006F4D"/>
    <w:rsid w:val="00006F5F"/>
    <w:rsid w:val="000104E4"/>
    <w:rsid w:val="00010F43"/>
    <w:rsid w:val="00011217"/>
    <w:rsid w:val="000112F1"/>
    <w:rsid w:val="000117AF"/>
    <w:rsid w:val="00011D67"/>
    <w:rsid w:val="0001205D"/>
    <w:rsid w:val="000126A8"/>
    <w:rsid w:val="00012E44"/>
    <w:rsid w:val="0001305D"/>
    <w:rsid w:val="0001443B"/>
    <w:rsid w:val="00014562"/>
    <w:rsid w:val="00014EF6"/>
    <w:rsid w:val="00015959"/>
    <w:rsid w:val="00016185"/>
    <w:rsid w:val="00016DD1"/>
    <w:rsid w:val="000171CD"/>
    <w:rsid w:val="0002005D"/>
    <w:rsid w:val="000224FB"/>
    <w:rsid w:val="000227C4"/>
    <w:rsid w:val="00022900"/>
    <w:rsid w:val="00023CF2"/>
    <w:rsid w:val="00024C0C"/>
    <w:rsid w:val="00025393"/>
    <w:rsid w:val="00025E24"/>
    <w:rsid w:val="00026185"/>
    <w:rsid w:val="000271E3"/>
    <w:rsid w:val="000300DC"/>
    <w:rsid w:val="000302B6"/>
    <w:rsid w:val="00032047"/>
    <w:rsid w:val="000331D4"/>
    <w:rsid w:val="00033C02"/>
    <w:rsid w:val="000357EA"/>
    <w:rsid w:val="000363AB"/>
    <w:rsid w:val="000363B4"/>
    <w:rsid w:val="00036FC7"/>
    <w:rsid w:val="00037072"/>
    <w:rsid w:val="0003775B"/>
    <w:rsid w:val="00037A56"/>
    <w:rsid w:val="00040589"/>
    <w:rsid w:val="000406EC"/>
    <w:rsid w:val="00040E3B"/>
    <w:rsid w:val="00043EBF"/>
    <w:rsid w:val="00044497"/>
    <w:rsid w:val="00044658"/>
    <w:rsid w:val="00044B8C"/>
    <w:rsid w:val="00044E86"/>
    <w:rsid w:val="00045094"/>
    <w:rsid w:val="00045509"/>
    <w:rsid w:val="00045B68"/>
    <w:rsid w:val="00046442"/>
    <w:rsid w:val="000465AF"/>
    <w:rsid w:val="00047577"/>
    <w:rsid w:val="00047762"/>
    <w:rsid w:val="00050612"/>
    <w:rsid w:val="0005095C"/>
    <w:rsid w:val="00050EF2"/>
    <w:rsid w:val="000516B5"/>
    <w:rsid w:val="00051AE1"/>
    <w:rsid w:val="00051BB9"/>
    <w:rsid w:val="000524D1"/>
    <w:rsid w:val="0005256C"/>
    <w:rsid w:val="00054435"/>
    <w:rsid w:val="00054790"/>
    <w:rsid w:val="00054D4F"/>
    <w:rsid w:val="00054E65"/>
    <w:rsid w:val="000554F7"/>
    <w:rsid w:val="00056FC5"/>
    <w:rsid w:val="0005711E"/>
    <w:rsid w:val="0005793D"/>
    <w:rsid w:val="00057F87"/>
    <w:rsid w:val="000612C9"/>
    <w:rsid w:val="00061866"/>
    <w:rsid w:val="00062540"/>
    <w:rsid w:val="00063022"/>
    <w:rsid w:val="00063DF9"/>
    <w:rsid w:val="000643F4"/>
    <w:rsid w:val="000652F6"/>
    <w:rsid w:val="00065FB8"/>
    <w:rsid w:val="000661E1"/>
    <w:rsid w:val="0006746D"/>
    <w:rsid w:val="00067874"/>
    <w:rsid w:val="00067B4F"/>
    <w:rsid w:val="00067F22"/>
    <w:rsid w:val="000704BD"/>
    <w:rsid w:val="00070A1B"/>
    <w:rsid w:val="00070FCA"/>
    <w:rsid w:val="0007161B"/>
    <w:rsid w:val="00071895"/>
    <w:rsid w:val="00071C70"/>
    <w:rsid w:val="000722A2"/>
    <w:rsid w:val="00072C38"/>
    <w:rsid w:val="00072ECC"/>
    <w:rsid w:val="0007381B"/>
    <w:rsid w:val="00073D08"/>
    <w:rsid w:val="00073F77"/>
    <w:rsid w:val="00073FE8"/>
    <w:rsid w:val="0007434D"/>
    <w:rsid w:val="000744B2"/>
    <w:rsid w:val="000764B0"/>
    <w:rsid w:val="00076898"/>
    <w:rsid w:val="00077252"/>
    <w:rsid w:val="000773A6"/>
    <w:rsid w:val="000803A5"/>
    <w:rsid w:val="000813EB"/>
    <w:rsid w:val="00081FB0"/>
    <w:rsid w:val="00082832"/>
    <w:rsid w:val="00083615"/>
    <w:rsid w:val="000837A1"/>
    <w:rsid w:val="0008467B"/>
    <w:rsid w:val="00085206"/>
    <w:rsid w:val="00085557"/>
    <w:rsid w:val="000863E3"/>
    <w:rsid w:val="000869D8"/>
    <w:rsid w:val="00086E28"/>
    <w:rsid w:val="0008704E"/>
    <w:rsid w:val="000875FF"/>
    <w:rsid w:val="00087ED3"/>
    <w:rsid w:val="00091055"/>
    <w:rsid w:val="0009173E"/>
    <w:rsid w:val="00091A9D"/>
    <w:rsid w:val="00092EB6"/>
    <w:rsid w:val="00093043"/>
    <w:rsid w:val="000960A3"/>
    <w:rsid w:val="0009611D"/>
    <w:rsid w:val="000966CF"/>
    <w:rsid w:val="000966ED"/>
    <w:rsid w:val="00097DFE"/>
    <w:rsid w:val="000A07AC"/>
    <w:rsid w:val="000A0DD5"/>
    <w:rsid w:val="000A0FEA"/>
    <w:rsid w:val="000A1464"/>
    <w:rsid w:val="000A46FC"/>
    <w:rsid w:val="000A53E5"/>
    <w:rsid w:val="000A5418"/>
    <w:rsid w:val="000A6315"/>
    <w:rsid w:val="000A6A69"/>
    <w:rsid w:val="000A7080"/>
    <w:rsid w:val="000A7D7C"/>
    <w:rsid w:val="000B078D"/>
    <w:rsid w:val="000B0A3E"/>
    <w:rsid w:val="000B0AEA"/>
    <w:rsid w:val="000B1374"/>
    <w:rsid w:val="000B15D0"/>
    <w:rsid w:val="000B19B6"/>
    <w:rsid w:val="000B1EA5"/>
    <w:rsid w:val="000B1F4C"/>
    <w:rsid w:val="000B20CA"/>
    <w:rsid w:val="000B2471"/>
    <w:rsid w:val="000B30AE"/>
    <w:rsid w:val="000B4792"/>
    <w:rsid w:val="000B48BD"/>
    <w:rsid w:val="000B595C"/>
    <w:rsid w:val="000B65BE"/>
    <w:rsid w:val="000B67B0"/>
    <w:rsid w:val="000B6900"/>
    <w:rsid w:val="000B7600"/>
    <w:rsid w:val="000B7E36"/>
    <w:rsid w:val="000C0BE9"/>
    <w:rsid w:val="000C306D"/>
    <w:rsid w:val="000C35BB"/>
    <w:rsid w:val="000C37B4"/>
    <w:rsid w:val="000C38DE"/>
    <w:rsid w:val="000C43B8"/>
    <w:rsid w:val="000C4F97"/>
    <w:rsid w:val="000C5D77"/>
    <w:rsid w:val="000C6456"/>
    <w:rsid w:val="000C7D08"/>
    <w:rsid w:val="000D060B"/>
    <w:rsid w:val="000D1840"/>
    <w:rsid w:val="000D21E7"/>
    <w:rsid w:val="000D282B"/>
    <w:rsid w:val="000D3EA6"/>
    <w:rsid w:val="000D4054"/>
    <w:rsid w:val="000D4B6F"/>
    <w:rsid w:val="000D4F4D"/>
    <w:rsid w:val="000D5296"/>
    <w:rsid w:val="000D56DB"/>
    <w:rsid w:val="000D6911"/>
    <w:rsid w:val="000E07F3"/>
    <w:rsid w:val="000E1EE3"/>
    <w:rsid w:val="000E223F"/>
    <w:rsid w:val="000E29AB"/>
    <w:rsid w:val="000E3C16"/>
    <w:rsid w:val="000E4DD7"/>
    <w:rsid w:val="000E5226"/>
    <w:rsid w:val="000E5AE5"/>
    <w:rsid w:val="000E5BEB"/>
    <w:rsid w:val="000E67F5"/>
    <w:rsid w:val="000F1475"/>
    <w:rsid w:val="000F14DF"/>
    <w:rsid w:val="000F1A99"/>
    <w:rsid w:val="000F1F1C"/>
    <w:rsid w:val="000F21BA"/>
    <w:rsid w:val="000F2B7B"/>
    <w:rsid w:val="000F2DE2"/>
    <w:rsid w:val="000F340A"/>
    <w:rsid w:val="000F3CF9"/>
    <w:rsid w:val="000F4C0C"/>
    <w:rsid w:val="000F513F"/>
    <w:rsid w:val="000F6558"/>
    <w:rsid w:val="000F7547"/>
    <w:rsid w:val="000F7645"/>
    <w:rsid w:val="00100F47"/>
    <w:rsid w:val="00101D26"/>
    <w:rsid w:val="00101D5F"/>
    <w:rsid w:val="00102780"/>
    <w:rsid w:val="00102D74"/>
    <w:rsid w:val="00104302"/>
    <w:rsid w:val="00104B0D"/>
    <w:rsid w:val="001058C3"/>
    <w:rsid w:val="00105A76"/>
    <w:rsid w:val="00105F60"/>
    <w:rsid w:val="00106B89"/>
    <w:rsid w:val="00107BB1"/>
    <w:rsid w:val="00110020"/>
    <w:rsid w:val="001104B1"/>
    <w:rsid w:val="00110D95"/>
    <w:rsid w:val="001120CF"/>
    <w:rsid w:val="00113290"/>
    <w:rsid w:val="00113357"/>
    <w:rsid w:val="00113877"/>
    <w:rsid w:val="0011430E"/>
    <w:rsid w:val="00114320"/>
    <w:rsid w:val="001151F1"/>
    <w:rsid w:val="00115F6D"/>
    <w:rsid w:val="00116C0A"/>
    <w:rsid w:val="00116D15"/>
    <w:rsid w:val="001176AA"/>
    <w:rsid w:val="001179C0"/>
    <w:rsid w:val="001200E3"/>
    <w:rsid w:val="001203BB"/>
    <w:rsid w:val="00120481"/>
    <w:rsid w:val="00120B62"/>
    <w:rsid w:val="00120F40"/>
    <w:rsid w:val="001224E9"/>
    <w:rsid w:val="00122599"/>
    <w:rsid w:val="001226BD"/>
    <w:rsid w:val="00122777"/>
    <w:rsid w:val="00122835"/>
    <w:rsid w:val="0012316C"/>
    <w:rsid w:val="00123BC6"/>
    <w:rsid w:val="00124125"/>
    <w:rsid w:val="00124CA2"/>
    <w:rsid w:val="00125378"/>
    <w:rsid w:val="00125A71"/>
    <w:rsid w:val="00127C2B"/>
    <w:rsid w:val="0013009D"/>
    <w:rsid w:val="00130A99"/>
    <w:rsid w:val="0013146F"/>
    <w:rsid w:val="00132538"/>
    <w:rsid w:val="00132980"/>
    <w:rsid w:val="00132B9B"/>
    <w:rsid w:val="001335C5"/>
    <w:rsid w:val="00133A23"/>
    <w:rsid w:val="00133E44"/>
    <w:rsid w:val="0013428C"/>
    <w:rsid w:val="00134635"/>
    <w:rsid w:val="00134744"/>
    <w:rsid w:val="00135686"/>
    <w:rsid w:val="00135F1A"/>
    <w:rsid w:val="00136285"/>
    <w:rsid w:val="00136A29"/>
    <w:rsid w:val="0013735A"/>
    <w:rsid w:val="0013747D"/>
    <w:rsid w:val="001377F8"/>
    <w:rsid w:val="001403C2"/>
    <w:rsid w:val="00140A5F"/>
    <w:rsid w:val="00140D73"/>
    <w:rsid w:val="00141144"/>
    <w:rsid w:val="00141375"/>
    <w:rsid w:val="00141E4B"/>
    <w:rsid w:val="001420F4"/>
    <w:rsid w:val="00142FE5"/>
    <w:rsid w:val="001430E2"/>
    <w:rsid w:val="00143AD1"/>
    <w:rsid w:val="0014501B"/>
    <w:rsid w:val="001459C3"/>
    <w:rsid w:val="00145FC8"/>
    <w:rsid w:val="00147A87"/>
    <w:rsid w:val="00151608"/>
    <w:rsid w:val="001518B9"/>
    <w:rsid w:val="00151CAE"/>
    <w:rsid w:val="00151CC8"/>
    <w:rsid w:val="00151CE4"/>
    <w:rsid w:val="001527D9"/>
    <w:rsid w:val="001528C6"/>
    <w:rsid w:val="00152991"/>
    <w:rsid w:val="0015360D"/>
    <w:rsid w:val="0015393F"/>
    <w:rsid w:val="00153C71"/>
    <w:rsid w:val="001543DE"/>
    <w:rsid w:val="00154F17"/>
    <w:rsid w:val="001561E5"/>
    <w:rsid w:val="001566DF"/>
    <w:rsid w:val="00156962"/>
    <w:rsid w:val="001573AF"/>
    <w:rsid w:val="00157DEF"/>
    <w:rsid w:val="0016048C"/>
    <w:rsid w:val="00160944"/>
    <w:rsid w:val="00163241"/>
    <w:rsid w:val="00163B85"/>
    <w:rsid w:val="0016465E"/>
    <w:rsid w:val="00165AAC"/>
    <w:rsid w:val="00166687"/>
    <w:rsid w:val="0016707B"/>
    <w:rsid w:val="00167AF9"/>
    <w:rsid w:val="00170162"/>
    <w:rsid w:val="001701E7"/>
    <w:rsid w:val="0017048A"/>
    <w:rsid w:val="001707A4"/>
    <w:rsid w:val="00170B02"/>
    <w:rsid w:val="00170E5B"/>
    <w:rsid w:val="00171C2C"/>
    <w:rsid w:val="00172051"/>
    <w:rsid w:val="0017331B"/>
    <w:rsid w:val="001735A2"/>
    <w:rsid w:val="00173B7D"/>
    <w:rsid w:val="0017429F"/>
    <w:rsid w:val="00174A74"/>
    <w:rsid w:val="00174B2F"/>
    <w:rsid w:val="00174C45"/>
    <w:rsid w:val="001751B6"/>
    <w:rsid w:val="00175913"/>
    <w:rsid w:val="00175C1E"/>
    <w:rsid w:val="00175CED"/>
    <w:rsid w:val="0017646C"/>
    <w:rsid w:val="001764EC"/>
    <w:rsid w:val="00176767"/>
    <w:rsid w:val="00176D8B"/>
    <w:rsid w:val="00177CB0"/>
    <w:rsid w:val="00177D70"/>
    <w:rsid w:val="00177DD1"/>
    <w:rsid w:val="0018023F"/>
    <w:rsid w:val="00180396"/>
    <w:rsid w:val="001810E0"/>
    <w:rsid w:val="0018155E"/>
    <w:rsid w:val="00181963"/>
    <w:rsid w:val="00181EA5"/>
    <w:rsid w:val="001834BC"/>
    <w:rsid w:val="00183D47"/>
    <w:rsid w:val="00183E06"/>
    <w:rsid w:val="001840A1"/>
    <w:rsid w:val="0018422D"/>
    <w:rsid w:val="00184435"/>
    <w:rsid w:val="00184B18"/>
    <w:rsid w:val="00184BD2"/>
    <w:rsid w:val="001850DC"/>
    <w:rsid w:val="00185352"/>
    <w:rsid w:val="00186409"/>
    <w:rsid w:val="00187067"/>
    <w:rsid w:val="00190C90"/>
    <w:rsid w:val="00190F2F"/>
    <w:rsid w:val="00191A4A"/>
    <w:rsid w:val="00192CA8"/>
    <w:rsid w:val="00193FB8"/>
    <w:rsid w:val="001961C9"/>
    <w:rsid w:val="00196EED"/>
    <w:rsid w:val="00196F18"/>
    <w:rsid w:val="001972AA"/>
    <w:rsid w:val="0019751E"/>
    <w:rsid w:val="00197CC8"/>
    <w:rsid w:val="00197E49"/>
    <w:rsid w:val="001A2353"/>
    <w:rsid w:val="001A322A"/>
    <w:rsid w:val="001A3245"/>
    <w:rsid w:val="001A4588"/>
    <w:rsid w:val="001A495C"/>
    <w:rsid w:val="001A4A14"/>
    <w:rsid w:val="001A52ED"/>
    <w:rsid w:val="001A562B"/>
    <w:rsid w:val="001A5FD3"/>
    <w:rsid w:val="001A6CB1"/>
    <w:rsid w:val="001A7761"/>
    <w:rsid w:val="001B0E2C"/>
    <w:rsid w:val="001B1D53"/>
    <w:rsid w:val="001B1DB7"/>
    <w:rsid w:val="001B2069"/>
    <w:rsid w:val="001B29D4"/>
    <w:rsid w:val="001B2E8F"/>
    <w:rsid w:val="001B3023"/>
    <w:rsid w:val="001B36EC"/>
    <w:rsid w:val="001B5468"/>
    <w:rsid w:val="001B6562"/>
    <w:rsid w:val="001B6D4C"/>
    <w:rsid w:val="001B793E"/>
    <w:rsid w:val="001B7EC3"/>
    <w:rsid w:val="001C00C0"/>
    <w:rsid w:val="001C081E"/>
    <w:rsid w:val="001C151F"/>
    <w:rsid w:val="001C226D"/>
    <w:rsid w:val="001C26BD"/>
    <w:rsid w:val="001C2710"/>
    <w:rsid w:val="001C3C1A"/>
    <w:rsid w:val="001C4636"/>
    <w:rsid w:val="001C5099"/>
    <w:rsid w:val="001C6392"/>
    <w:rsid w:val="001C6666"/>
    <w:rsid w:val="001C6FC1"/>
    <w:rsid w:val="001C72AC"/>
    <w:rsid w:val="001D1498"/>
    <w:rsid w:val="001D1CD0"/>
    <w:rsid w:val="001D1D0D"/>
    <w:rsid w:val="001D22C5"/>
    <w:rsid w:val="001D2964"/>
    <w:rsid w:val="001D3C52"/>
    <w:rsid w:val="001D48AF"/>
    <w:rsid w:val="001D48EF"/>
    <w:rsid w:val="001D4BF3"/>
    <w:rsid w:val="001D53C4"/>
    <w:rsid w:val="001D5D88"/>
    <w:rsid w:val="001D5F0E"/>
    <w:rsid w:val="001D7D4F"/>
    <w:rsid w:val="001D7FD3"/>
    <w:rsid w:val="001E0BB5"/>
    <w:rsid w:val="001E129F"/>
    <w:rsid w:val="001E1D4E"/>
    <w:rsid w:val="001E37AC"/>
    <w:rsid w:val="001E3A9B"/>
    <w:rsid w:val="001E4A81"/>
    <w:rsid w:val="001E50E2"/>
    <w:rsid w:val="001E5874"/>
    <w:rsid w:val="001E6A83"/>
    <w:rsid w:val="001E6A98"/>
    <w:rsid w:val="001E6FA4"/>
    <w:rsid w:val="001F0AFC"/>
    <w:rsid w:val="001F0DF1"/>
    <w:rsid w:val="001F0ECF"/>
    <w:rsid w:val="001F1480"/>
    <w:rsid w:val="001F1B12"/>
    <w:rsid w:val="001F1E7B"/>
    <w:rsid w:val="001F2337"/>
    <w:rsid w:val="001F38DE"/>
    <w:rsid w:val="001F45CF"/>
    <w:rsid w:val="001F4FA6"/>
    <w:rsid w:val="001F59ED"/>
    <w:rsid w:val="001F59FF"/>
    <w:rsid w:val="001F5E1D"/>
    <w:rsid w:val="001F5F8B"/>
    <w:rsid w:val="001F6400"/>
    <w:rsid w:val="001F69E9"/>
    <w:rsid w:val="001F6DB6"/>
    <w:rsid w:val="001F7B99"/>
    <w:rsid w:val="001F7C27"/>
    <w:rsid w:val="00200D44"/>
    <w:rsid w:val="00201AE6"/>
    <w:rsid w:val="00201EEA"/>
    <w:rsid w:val="00202184"/>
    <w:rsid w:val="00202A10"/>
    <w:rsid w:val="00202B52"/>
    <w:rsid w:val="00202D1D"/>
    <w:rsid w:val="00203E14"/>
    <w:rsid w:val="002047DC"/>
    <w:rsid w:val="002056FF"/>
    <w:rsid w:val="002057D6"/>
    <w:rsid w:val="002057DE"/>
    <w:rsid w:val="0020696B"/>
    <w:rsid w:val="00207232"/>
    <w:rsid w:val="00207DB5"/>
    <w:rsid w:val="00210CEA"/>
    <w:rsid w:val="00210D59"/>
    <w:rsid w:val="00210FEC"/>
    <w:rsid w:val="00211274"/>
    <w:rsid w:val="0021144C"/>
    <w:rsid w:val="0021195A"/>
    <w:rsid w:val="00211A97"/>
    <w:rsid w:val="00212929"/>
    <w:rsid w:val="00212D28"/>
    <w:rsid w:val="00212D3D"/>
    <w:rsid w:val="00212EBA"/>
    <w:rsid w:val="0021454A"/>
    <w:rsid w:val="00214E5A"/>
    <w:rsid w:val="00215744"/>
    <w:rsid w:val="00215EE3"/>
    <w:rsid w:val="00217353"/>
    <w:rsid w:val="0022052D"/>
    <w:rsid w:val="00221C0C"/>
    <w:rsid w:val="0022209A"/>
    <w:rsid w:val="002223F2"/>
    <w:rsid w:val="0022264D"/>
    <w:rsid w:val="0022288A"/>
    <w:rsid w:val="002235D8"/>
    <w:rsid w:val="00224A73"/>
    <w:rsid w:val="002250DC"/>
    <w:rsid w:val="0022689E"/>
    <w:rsid w:val="00227050"/>
    <w:rsid w:val="002271BF"/>
    <w:rsid w:val="00227D36"/>
    <w:rsid w:val="00231647"/>
    <w:rsid w:val="00231C5E"/>
    <w:rsid w:val="0023371D"/>
    <w:rsid w:val="00233850"/>
    <w:rsid w:val="00233905"/>
    <w:rsid w:val="00234354"/>
    <w:rsid w:val="00234364"/>
    <w:rsid w:val="00234411"/>
    <w:rsid w:val="002354B3"/>
    <w:rsid w:val="002355A7"/>
    <w:rsid w:val="00236021"/>
    <w:rsid w:val="0023610A"/>
    <w:rsid w:val="00236963"/>
    <w:rsid w:val="002369F1"/>
    <w:rsid w:val="00236EA6"/>
    <w:rsid w:val="00236FB5"/>
    <w:rsid w:val="0023707E"/>
    <w:rsid w:val="002401F6"/>
    <w:rsid w:val="00240820"/>
    <w:rsid w:val="00243139"/>
    <w:rsid w:val="00243DAD"/>
    <w:rsid w:val="002445E5"/>
    <w:rsid w:val="002447F0"/>
    <w:rsid w:val="00244CE1"/>
    <w:rsid w:val="00244CE7"/>
    <w:rsid w:val="00244FAB"/>
    <w:rsid w:val="002452A3"/>
    <w:rsid w:val="002455C3"/>
    <w:rsid w:val="00245CE9"/>
    <w:rsid w:val="002460AC"/>
    <w:rsid w:val="00246480"/>
    <w:rsid w:val="00246AAA"/>
    <w:rsid w:val="00247163"/>
    <w:rsid w:val="002472DE"/>
    <w:rsid w:val="0024757C"/>
    <w:rsid w:val="00247B6B"/>
    <w:rsid w:val="00250517"/>
    <w:rsid w:val="002506FD"/>
    <w:rsid w:val="002510BA"/>
    <w:rsid w:val="002520A6"/>
    <w:rsid w:val="002522EB"/>
    <w:rsid w:val="0025270D"/>
    <w:rsid w:val="00252FBB"/>
    <w:rsid w:val="002533D6"/>
    <w:rsid w:val="002535F5"/>
    <w:rsid w:val="00253652"/>
    <w:rsid w:val="002548B0"/>
    <w:rsid w:val="00254CB0"/>
    <w:rsid w:val="00256AE8"/>
    <w:rsid w:val="002615A6"/>
    <w:rsid w:val="00261C4D"/>
    <w:rsid w:val="00261DC7"/>
    <w:rsid w:val="00262728"/>
    <w:rsid w:val="00262997"/>
    <w:rsid w:val="0026414A"/>
    <w:rsid w:val="002642EC"/>
    <w:rsid w:val="002652F9"/>
    <w:rsid w:val="00265FE9"/>
    <w:rsid w:val="00266472"/>
    <w:rsid w:val="002669A8"/>
    <w:rsid w:val="0026730C"/>
    <w:rsid w:val="00267852"/>
    <w:rsid w:val="00267DD9"/>
    <w:rsid w:val="00267E67"/>
    <w:rsid w:val="0027185D"/>
    <w:rsid w:val="00271955"/>
    <w:rsid w:val="002724B1"/>
    <w:rsid w:val="002725F0"/>
    <w:rsid w:val="002737DA"/>
    <w:rsid w:val="00273AA8"/>
    <w:rsid w:val="00273D52"/>
    <w:rsid w:val="002750D8"/>
    <w:rsid w:val="002751D8"/>
    <w:rsid w:val="002758F5"/>
    <w:rsid w:val="002764B0"/>
    <w:rsid w:val="00276885"/>
    <w:rsid w:val="00277C48"/>
    <w:rsid w:val="002826AA"/>
    <w:rsid w:val="00282AD7"/>
    <w:rsid w:val="00282AFC"/>
    <w:rsid w:val="00282DDF"/>
    <w:rsid w:val="00282F0F"/>
    <w:rsid w:val="002839E4"/>
    <w:rsid w:val="0028464B"/>
    <w:rsid w:val="00286ED1"/>
    <w:rsid w:val="00290575"/>
    <w:rsid w:val="002905B3"/>
    <w:rsid w:val="00290D23"/>
    <w:rsid w:val="00291D1B"/>
    <w:rsid w:val="0029276C"/>
    <w:rsid w:val="00293D7A"/>
    <w:rsid w:val="0029463C"/>
    <w:rsid w:val="00295719"/>
    <w:rsid w:val="00295901"/>
    <w:rsid w:val="002975A7"/>
    <w:rsid w:val="002A035C"/>
    <w:rsid w:val="002A044B"/>
    <w:rsid w:val="002A0591"/>
    <w:rsid w:val="002A14E9"/>
    <w:rsid w:val="002A1569"/>
    <w:rsid w:val="002A1F20"/>
    <w:rsid w:val="002A34EF"/>
    <w:rsid w:val="002A4486"/>
    <w:rsid w:val="002A4BD8"/>
    <w:rsid w:val="002A4EF5"/>
    <w:rsid w:val="002A58BA"/>
    <w:rsid w:val="002A5C27"/>
    <w:rsid w:val="002A5EEF"/>
    <w:rsid w:val="002A61B2"/>
    <w:rsid w:val="002A69AD"/>
    <w:rsid w:val="002A70E4"/>
    <w:rsid w:val="002B1D27"/>
    <w:rsid w:val="002B1EA8"/>
    <w:rsid w:val="002B2DD8"/>
    <w:rsid w:val="002B3212"/>
    <w:rsid w:val="002B3785"/>
    <w:rsid w:val="002B5942"/>
    <w:rsid w:val="002B6247"/>
    <w:rsid w:val="002B68C7"/>
    <w:rsid w:val="002B68D6"/>
    <w:rsid w:val="002B75BC"/>
    <w:rsid w:val="002C0ABA"/>
    <w:rsid w:val="002C124B"/>
    <w:rsid w:val="002C1273"/>
    <w:rsid w:val="002C20C7"/>
    <w:rsid w:val="002C2570"/>
    <w:rsid w:val="002C27C9"/>
    <w:rsid w:val="002C3303"/>
    <w:rsid w:val="002C5773"/>
    <w:rsid w:val="002C5CF0"/>
    <w:rsid w:val="002C64C4"/>
    <w:rsid w:val="002C6621"/>
    <w:rsid w:val="002C6877"/>
    <w:rsid w:val="002C6D5B"/>
    <w:rsid w:val="002C7263"/>
    <w:rsid w:val="002C733F"/>
    <w:rsid w:val="002C7905"/>
    <w:rsid w:val="002C7983"/>
    <w:rsid w:val="002D000D"/>
    <w:rsid w:val="002D1252"/>
    <w:rsid w:val="002D18F2"/>
    <w:rsid w:val="002D2212"/>
    <w:rsid w:val="002D2763"/>
    <w:rsid w:val="002D318B"/>
    <w:rsid w:val="002D35E5"/>
    <w:rsid w:val="002D3CA1"/>
    <w:rsid w:val="002D46A4"/>
    <w:rsid w:val="002D4985"/>
    <w:rsid w:val="002D5424"/>
    <w:rsid w:val="002D6210"/>
    <w:rsid w:val="002D70BC"/>
    <w:rsid w:val="002D7856"/>
    <w:rsid w:val="002D7A2D"/>
    <w:rsid w:val="002D7C81"/>
    <w:rsid w:val="002D7EFB"/>
    <w:rsid w:val="002D7F49"/>
    <w:rsid w:val="002E076A"/>
    <w:rsid w:val="002E1B57"/>
    <w:rsid w:val="002E4360"/>
    <w:rsid w:val="002E6A27"/>
    <w:rsid w:val="002E7E12"/>
    <w:rsid w:val="002F04C3"/>
    <w:rsid w:val="002F0709"/>
    <w:rsid w:val="002F094A"/>
    <w:rsid w:val="002F097D"/>
    <w:rsid w:val="002F0B9E"/>
    <w:rsid w:val="002F0D4F"/>
    <w:rsid w:val="002F18DA"/>
    <w:rsid w:val="002F1B2C"/>
    <w:rsid w:val="002F21A7"/>
    <w:rsid w:val="002F2CA0"/>
    <w:rsid w:val="002F2E46"/>
    <w:rsid w:val="002F324F"/>
    <w:rsid w:val="002F3CE0"/>
    <w:rsid w:val="002F426E"/>
    <w:rsid w:val="002F503F"/>
    <w:rsid w:val="002F65EF"/>
    <w:rsid w:val="002F66E5"/>
    <w:rsid w:val="002F6779"/>
    <w:rsid w:val="002F6FEC"/>
    <w:rsid w:val="002F71FA"/>
    <w:rsid w:val="002F7614"/>
    <w:rsid w:val="002F767E"/>
    <w:rsid w:val="002F7908"/>
    <w:rsid w:val="002F7B89"/>
    <w:rsid w:val="002F7E53"/>
    <w:rsid w:val="00300A2B"/>
    <w:rsid w:val="00301276"/>
    <w:rsid w:val="00301899"/>
    <w:rsid w:val="0030294D"/>
    <w:rsid w:val="003049F9"/>
    <w:rsid w:val="00304A0D"/>
    <w:rsid w:val="00305677"/>
    <w:rsid w:val="00305A2A"/>
    <w:rsid w:val="00306407"/>
    <w:rsid w:val="0030649A"/>
    <w:rsid w:val="00306549"/>
    <w:rsid w:val="00310CE3"/>
    <w:rsid w:val="00313AEF"/>
    <w:rsid w:val="0031402F"/>
    <w:rsid w:val="00314782"/>
    <w:rsid w:val="00314DD4"/>
    <w:rsid w:val="003156C8"/>
    <w:rsid w:val="0031649C"/>
    <w:rsid w:val="003169B7"/>
    <w:rsid w:val="0031785A"/>
    <w:rsid w:val="003178EE"/>
    <w:rsid w:val="0032047C"/>
    <w:rsid w:val="0032068F"/>
    <w:rsid w:val="00321B3C"/>
    <w:rsid w:val="003225A3"/>
    <w:rsid w:val="003228B7"/>
    <w:rsid w:val="003234D4"/>
    <w:rsid w:val="00323678"/>
    <w:rsid w:val="00324142"/>
    <w:rsid w:val="003249FC"/>
    <w:rsid w:val="00324D40"/>
    <w:rsid w:val="00325351"/>
    <w:rsid w:val="0032545E"/>
    <w:rsid w:val="00325707"/>
    <w:rsid w:val="00326BA5"/>
    <w:rsid w:val="00326BE4"/>
    <w:rsid w:val="00327D8A"/>
    <w:rsid w:val="00327F2B"/>
    <w:rsid w:val="00330AAA"/>
    <w:rsid w:val="00330ED6"/>
    <w:rsid w:val="00330F5E"/>
    <w:rsid w:val="0033105D"/>
    <w:rsid w:val="0033334D"/>
    <w:rsid w:val="00334547"/>
    <w:rsid w:val="00334986"/>
    <w:rsid w:val="00334A36"/>
    <w:rsid w:val="00335515"/>
    <w:rsid w:val="003356DA"/>
    <w:rsid w:val="00337E68"/>
    <w:rsid w:val="00340962"/>
    <w:rsid w:val="00340B57"/>
    <w:rsid w:val="0034223B"/>
    <w:rsid w:val="0034234B"/>
    <w:rsid w:val="003428B3"/>
    <w:rsid w:val="00343315"/>
    <w:rsid w:val="0034389E"/>
    <w:rsid w:val="00343F45"/>
    <w:rsid w:val="00346BE9"/>
    <w:rsid w:val="003471A9"/>
    <w:rsid w:val="0034738A"/>
    <w:rsid w:val="00347FF2"/>
    <w:rsid w:val="00350A32"/>
    <w:rsid w:val="00351CEF"/>
    <w:rsid w:val="003524A1"/>
    <w:rsid w:val="00352635"/>
    <w:rsid w:val="00352921"/>
    <w:rsid w:val="0035384B"/>
    <w:rsid w:val="00353CC3"/>
    <w:rsid w:val="00354C33"/>
    <w:rsid w:val="0035649E"/>
    <w:rsid w:val="00360623"/>
    <w:rsid w:val="00361D24"/>
    <w:rsid w:val="003621C2"/>
    <w:rsid w:val="003638C8"/>
    <w:rsid w:val="003643FA"/>
    <w:rsid w:val="003644AE"/>
    <w:rsid w:val="00366051"/>
    <w:rsid w:val="003664A1"/>
    <w:rsid w:val="00366624"/>
    <w:rsid w:val="0036687C"/>
    <w:rsid w:val="00367114"/>
    <w:rsid w:val="003676D7"/>
    <w:rsid w:val="00370903"/>
    <w:rsid w:val="00371A9E"/>
    <w:rsid w:val="0037208E"/>
    <w:rsid w:val="0037239D"/>
    <w:rsid w:val="00373146"/>
    <w:rsid w:val="00374520"/>
    <w:rsid w:val="00374A85"/>
    <w:rsid w:val="00375710"/>
    <w:rsid w:val="00375FC0"/>
    <w:rsid w:val="00376E21"/>
    <w:rsid w:val="0037717E"/>
    <w:rsid w:val="003776CA"/>
    <w:rsid w:val="00377F15"/>
    <w:rsid w:val="003800F0"/>
    <w:rsid w:val="00380629"/>
    <w:rsid w:val="003811DC"/>
    <w:rsid w:val="003812E7"/>
    <w:rsid w:val="00381356"/>
    <w:rsid w:val="00381C2C"/>
    <w:rsid w:val="003820F8"/>
    <w:rsid w:val="00382FC5"/>
    <w:rsid w:val="00383AEE"/>
    <w:rsid w:val="00383FF7"/>
    <w:rsid w:val="00384676"/>
    <w:rsid w:val="00384E10"/>
    <w:rsid w:val="00384F33"/>
    <w:rsid w:val="0038579B"/>
    <w:rsid w:val="00385AB9"/>
    <w:rsid w:val="00386A8B"/>
    <w:rsid w:val="00386CA2"/>
    <w:rsid w:val="00387D34"/>
    <w:rsid w:val="00387EA6"/>
    <w:rsid w:val="00390319"/>
    <w:rsid w:val="00390F3A"/>
    <w:rsid w:val="00391960"/>
    <w:rsid w:val="003927B0"/>
    <w:rsid w:val="00392DE3"/>
    <w:rsid w:val="00393BE3"/>
    <w:rsid w:val="00394628"/>
    <w:rsid w:val="00395780"/>
    <w:rsid w:val="0039584C"/>
    <w:rsid w:val="00395E14"/>
    <w:rsid w:val="00396297"/>
    <w:rsid w:val="00397280"/>
    <w:rsid w:val="00397BDA"/>
    <w:rsid w:val="00397EA4"/>
    <w:rsid w:val="003A0169"/>
    <w:rsid w:val="003A11BC"/>
    <w:rsid w:val="003A13D0"/>
    <w:rsid w:val="003A1822"/>
    <w:rsid w:val="003A2A87"/>
    <w:rsid w:val="003A484E"/>
    <w:rsid w:val="003A493B"/>
    <w:rsid w:val="003A4ED5"/>
    <w:rsid w:val="003A50CF"/>
    <w:rsid w:val="003A51C3"/>
    <w:rsid w:val="003A5E3E"/>
    <w:rsid w:val="003A632A"/>
    <w:rsid w:val="003A6A33"/>
    <w:rsid w:val="003A7330"/>
    <w:rsid w:val="003B0014"/>
    <w:rsid w:val="003B05C1"/>
    <w:rsid w:val="003B0DAE"/>
    <w:rsid w:val="003B15F3"/>
    <w:rsid w:val="003B1B0A"/>
    <w:rsid w:val="003B2324"/>
    <w:rsid w:val="003B2DA9"/>
    <w:rsid w:val="003B2F80"/>
    <w:rsid w:val="003B3525"/>
    <w:rsid w:val="003B3572"/>
    <w:rsid w:val="003B4C6D"/>
    <w:rsid w:val="003B4DB0"/>
    <w:rsid w:val="003B4EAF"/>
    <w:rsid w:val="003B51DA"/>
    <w:rsid w:val="003B5449"/>
    <w:rsid w:val="003B6FAE"/>
    <w:rsid w:val="003B7322"/>
    <w:rsid w:val="003B7636"/>
    <w:rsid w:val="003B7D23"/>
    <w:rsid w:val="003C0A42"/>
    <w:rsid w:val="003C0BFA"/>
    <w:rsid w:val="003C12BF"/>
    <w:rsid w:val="003C15AA"/>
    <w:rsid w:val="003C1978"/>
    <w:rsid w:val="003C1F8E"/>
    <w:rsid w:val="003C2704"/>
    <w:rsid w:val="003C393C"/>
    <w:rsid w:val="003C3A41"/>
    <w:rsid w:val="003C41B0"/>
    <w:rsid w:val="003C4B6B"/>
    <w:rsid w:val="003C521B"/>
    <w:rsid w:val="003C54C3"/>
    <w:rsid w:val="003C5D25"/>
    <w:rsid w:val="003C5E81"/>
    <w:rsid w:val="003C72A4"/>
    <w:rsid w:val="003C7820"/>
    <w:rsid w:val="003D0DF4"/>
    <w:rsid w:val="003D12E9"/>
    <w:rsid w:val="003D1674"/>
    <w:rsid w:val="003D17F9"/>
    <w:rsid w:val="003D1868"/>
    <w:rsid w:val="003D21B5"/>
    <w:rsid w:val="003D23C9"/>
    <w:rsid w:val="003D23D1"/>
    <w:rsid w:val="003D2854"/>
    <w:rsid w:val="003D2FD1"/>
    <w:rsid w:val="003D38DA"/>
    <w:rsid w:val="003D5275"/>
    <w:rsid w:val="003D61AC"/>
    <w:rsid w:val="003D6965"/>
    <w:rsid w:val="003D75F8"/>
    <w:rsid w:val="003D7824"/>
    <w:rsid w:val="003E0CDC"/>
    <w:rsid w:val="003E2BEB"/>
    <w:rsid w:val="003E3848"/>
    <w:rsid w:val="003E3E67"/>
    <w:rsid w:val="003E4717"/>
    <w:rsid w:val="003E50ED"/>
    <w:rsid w:val="003E56BE"/>
    <w:rsid w:val="003E5873"/>
    <w:rsid w:val="003E5D70"/>
    <w:rsid w:val="003E6284"/>
    <w:rsid w:val="003E6B76"/>
    <w:rsid w:val="003E77D0"/>
    <w:rsid w:val="003F0073"/>
    <w:rsid w:val="003F00DB"/>
    <w:rsid w:val="003F16A4"/>
    <w:rsid w:val="003F2078"/>
    <w:rsid w:val="003F2E04"/>
    <w:rsid w:val="003F3267"/>
    <w:rsid w:val="003F32E4"/>
    <w:rsid w:val="003F3F20"/>
    <w:rsid w:val="003F409D"/>
    <w:rsid w:val="003F40D1"/>
    <w:rsid w:val="003F55DB"/>
    <w:rsid w:val="003F5935"/>
    <w:rsid w:val="003F596F"/>
    <w:rsid w:val="003F5B7A"/>
    <w:rsid w:val="003F707E"/>
    <w:rsid w:val="004009C8"/>
    <w:rsid w:val="0040139C"/>
    <w:rsid w:val="00402B93"/>
    <w:rsid w:val="00404322"/>
    <w:rsid w:val="00404BAC"/>
    <w:rsid w:val="00404CEE"/>
    <w:rsid w:val="00404D0D"/>
    <w:rsid w:val="00405A74"/>
    <w:rsid w:val="0040679A"/>
    <w:rsid w:val="00410E3E"/>
    <w:rsid w:val="00411412"/>
    <w:rsid w:val="004122F1"/>
    <w:rsid w:val="0041246D"/>
    <w:rsid w:val="00412E02"/>
    <w:rsid w:val="00413A71"/>
    <w:rsid w:val="004142A1"/>
    <w:rsid w:val="00414EDD"/>
    <w:rsid w:val="004150F7"/>
    <w:rsid w:val="004158F2"/>
    <w:rsid w:val="0041628F"/>
    <w:rsid w:val="00416377"/>
    <w:rsid w:val="0041705C"/>
    <w:rsid w:val="00417529"/>
    <w:rsid w:val="004177AE"/>
    <w:rsid w:val="00420AF5"/>
    <w:rsid w:val="00420BD9"/>
    <w:rsid w:val="00420DD9"/>
    <w:rsid w:val="00421BAF"/>
    <w:rsid w:val="00422327"/>
    <w:rsid w:val="004226A3"/>
    <w:rsid w:val="0042294A"/>
    <w:rsid w:val="00422A41"/>
    <w:rsid w:val="00422BB7"/>
    <w:rsid w:val="00422C2E"/>
    <w:rsid w:val="00422EA1"/>
    <w:rsid w:val="00423063"/>
    <w:rsid w:val="004234A2"/>
    <w:rsid w:val="00423BFD"/>
    <w:rsid w:val="00424069"/>
    <w:rsid w:val="00426358"/>
    <w:rsid w:val="00426D33"/>
    <w:rsid w:val="0043001C"/>
    <w:rsid w:val="00430460"/>
    <w:rsid w:val="00430747"/>
    <w:rsid w:val="00431C29"/>
    <w:rsid w:val="004320C6"/>
    <w:rsid w:val="00432284"/>
    <w:rsid w:val="00432A5E"/>
    <w:rsid w:val="00432C08"/>
    <w:rsid w:val="00432D38"/>
    <w:rsid w:val="00432E7A"/>
    <w:rsid w:val="00434CED"/>
    <w:rsid w:val="00435781"/>
    <w:rsid w:val="00435C33"/>
    <w:rsid w:val="00435C87"/>
    <w:rsid w:val="004365F7"/>
    <w:rsid w:val="0044084D"/>
    <w:rsid w:val="0044132B"/>
    <w:rsid w:val="0044208E"/>
    <w:rsid w:val="004424CD"/>
    <w:rsid w:val="0044297B"/>
    <w:rsid w:val="00442ACD"/>
    <w:rsid w:val="004432FF"/>
    <w:rsid w:val="004445C4"/>
    <w:rsid w:val="00444B2F"/>
    <w:rsid w:val="00445052"/>
    <w:rsid w:val="004454BB"/>
    <w:rsid w:val="004455EC"/>
    <w:rsid w:val="00445B63"/>
    <w:rsid w:val="004461C2"/>
    <w:rsid w:val="0044625F"/>
    <w:rsid w:val="00450FE4"/>
    <w:rsid w:val="00451D3D"/>
    <w:rsid w:val="00452013"/>
    <w:rsid w:val="00452283"/>
    <w:rsid w:val="00452AB6"/>
    <w:rsid w:val="00453963"/>
    <w:rsid w:val="004549BC"/>
    <w:rsid w:val="0045503A"/>
    <w:rsid w:val="004551EE"/>
    <w:rsid w:val="00457241"/>
    <w:rsid w:val="00457834"/>
    <w:rsid w:val="004602AA"/>
    <w:rsid w:val="0046151F"/>
    <w:rsid w:val="00461E43"/>
    <w:rsid w:val="0046216B"/>
    <w:rsid w:val="004623A4"/>
    <w:rsid w:val="004628D8"/>
    <w:rsid w:val="00463508"/>
    <w:rsid w:val="0046371A"/>
    <w:rsid w:val="00463F83"/>
    <w:rsid w:val="00466D8C"/>
    <w:rsid w:val="00467553"/>
    <w:rsid w:val="004703CC"/>
    <w:rsid w:val="0047137B"/>
    <w:rsid w:val="00472149"/>
    <w:rsid w:val="004727EE"/>
    <w:rsid w:val="00473486"/>
    <w:rsid w:val="00474C7F"/>
    <w:rsid w:val="00474D3C"/>
    <w:rsid w:val="00475148"/>
    <w:rsid w:val="004758DF"/>
    <w:rsid w:val="004759C3"/>
    <w:rsid w:val="00475D09"/>
    <w:rsid w:val="0047617C"/>
    <w:rsid w:val="00476300"/>
    <w:rsid w:val="0047697B"/>
    <w:rsid w:val="00480577"/>
    <w:rsid w:val="00480E88"/>
    <w:rsid w:val="00481C8A"/>
    <w:rsid w:val="00481F73"/>
    <w:rsid w:val="00482D32"/>
    <w:rsid w:val="00482E54"/>
    <w:rsid w:val="00482FE5"/>
    <w:rsid w:val="004840F7"/>
    <w:rsid w:val="004842BC"/>
    <w:rsid w:val="004846A8"/>
    <w:rsid w:val="00484B92"/>
    <w:rsid w:val="00484D23"/>
    <w:rsid w:val="00485446"/>
    <w:rsid w:val="00485A92"/>
    <w:rsid w:val="0048634C"/>
    <w:rsid w:val="004864B4"/>
    <w:rsid w:val="00491F43"/>
    <w:rsid w:val="00492BD9"/>
    <w:rsid w:val="00492F0B"/>
    <w:rsid w:val="0049327D"/>
    <w:rsid w:val="00493CCD"/>
    <w:rsid w:val="004942FD"/>
    <w:rsid w:val="00494F7D"/>
    <w:rsid w:val="004958F9"/>
    <w:rsid w:val="004964FA"/>
    <w:rsid w:val="0049709A"/>
    <w:rsid w:val="00497A2C"/>
    <w:rsid w:val="00497D4F"/>
    <w:rsid w:val="004A07E8"/>
    <w:rsid w:val="004A1A4B"/>
    <w:rsid w:val="004A2412"/>
    <w:rsid w:val="004A2616"/>
    <w:rsid w:val="004A27D3"/>
    <w:rsid w:val="004A3296"/>
    <w:rsid w:val="004A3606"/>
    <w:rsid w:val="004A37DF"/>
    <w:rsid w:val="004A4054"/>
    <w:rsid w:val="004A4103"/>
    <w:rsid w:val="004A43C5"/>
    <w:rsid w:val="004A4B2A"/>
    <w:rsid w:val="004A4D64"/>
    <w:rsid w:val="004A6166"/>
    <w:rsid w:val="004A69AC"/>
    <w:rsid w:val="004A70B8"/>
    <w:rsid w:val="004B0434"/>
    <w:rsid w:val="004B0891"/>
    <w:rsid w:val="004B2CAC"/>
    <w:rsid w:val="004B2F0E"/>
    <w:rsid w:val="004B317D"/>
    <w:rsid w:val="004B3789"/>
    <w:rsid w:val="004B4B75"/>
    <w:rsid w:val="004B4CD9"/>
    <w:rsid w:val="004B4F11"/>
    <w:rsid w:val="004B594B"/>
    <w:rsid w:val="004B70DF"/>
    <w:rsid w:val="004C0312"/>
    <w:rsid w:val="004C1EFB"/>
    <w:rsid w:val="004C22D3"/>
    <w:rsid w:val="004C2E8A"/>
    <w:rsid w:val="004C410A"/>
    <w:rsid w:val="004C467D"/>
    <w:rsid w:val="004C4A3D"/>
    <w:rsid w:val="004C5ABD"/>
    <w:rsid w:val="004C6A9F"/>
    <w:rsid w:val="004C6FDA"/>
    <w:rsid w:val="004C75A8"/>
    <w:rsid w:val="004D0501"/>
    <w:rsid w:val="004D098C"/>
    <w:rsid w:val="004D0D63"/>
    <w:rsid w:val="004D2931"/>
    <w:rsid w:val="004D2989"/>
    <w:rsid w:val="004D2B15"/>
    <w:rsid w:val="004D3421"/>
    <w:rsid w:val="004D39D0"/>
    <w:rsid w:val="004D4B50"/>
    <w:rsid w:val="004D4BEA"/>
    <w:rsid w:val="004D5326"/>
    <w:rsid w:val="004D60B6"/>
    <w:rsid w:val="004D6A2E"/>
    <w:rsid w:val="004D7621"/>
    <w:rsid w:val="004D774D"/>
    <w:rsid w:val="004D7ED9"/>
    <w:rsid w:val="004E0EB6"/>
    <w:rsid w:val="004E0F98"/>
    <w:rsid w:val="004E113C"/>
    <w:rsid w:val="004E15E7"/>
    <w:rsid w:val="004E19CE"/>
    <w:rsid w:val="004E2159"/>
    <w:rsid w:val="004E285A"/>
    <w:rsid w:val="004E2A65"/>
    <w:rsid w:val="004E2CF7"/>
    <w:rsid w:val="004E4330"/>
    <w:rsid w:val="004E4532"/>
    <w:rsid w:val="004E4C43"/>
    <w:rsid w:val="004E4E52"/>
    <w:rsid w:val="004E508A"/>
    <w:rsid w:val="004E5DAB"/>
    <w:rsid w:val="004E6623"/>
    <w:rsid w:val="004E6AA3"/>
    <w:rsid w:val="004E72C5"/>
    <w:rsid w:val="004F21F6"/>
    <w:rsid w:val="004F2B06"/>
    <w:rsid w:val="004F384A"/>
    <w:rsid w:val="004F3AF7"/>
    <w:rsid w:val="004F3BA8"/>
    <w:rsid w:val="004F4785"/>
    <w:rsid w:val="004F5677"/>
    <w:rsid w:val="004F5899"/>
    <w:rsid w:val="004F60E6"/>
    <w:rsid w:val="004F6C51"/>
    <w:rsid w:val="004F6FB1"/>
    <w:rsid w:val="004F7E1E"/>
    <w:rsid w:val="0050013A"/>
    <w:rsid w:val="005005CA"/>
    <w:rsid w:val="00500C24"/>
    <w:rsid w:val="00500CE6"/>
    <w:rsid w:val="00500D17"/>
    <w:rsid w:val="005012AB"/>
    <w:rsid w:val="005013B5"/>
    <w:rsid w:val="00502A87"/>
    <w:rsid w:val="005039EA"/>
    <w:rsid w:val="00504B96"/>
    <w:rsid w:val="00504EFB"/>
    <w:rsid w:val="00505014"/>
    <w:rsid w:val="005051F0"/>
    <w:rsid w:val="00507493"/>
    <w:rsid w:val="0051094A"/>
    <w:rsid w:val="00510C8D"/>
    <w:rsid w:val="00511EC1"/>
    <w:rsid w:val="00512854"/>
    <w:rsid w:val="00512A33"/>
    <w:rsid w:val="00512F0F"/>
    <w:rsid w:val="005130AA"/>
    <w:rsid w:val="00514522"/>
    <w:rsid w:val="00514CEE"/>
    <w:rsid w:val="00514D2C"/>
    <w:rsid w:val="00515056"/>
    <w:rsid w:val="005151A1"/>
    <w:rsid w:val="005151C2"/>
    <w:rsid w:val="00515B21"/>
    <w:rsid w:val="00516FC8"/>
    <w:rsid w:val="00517161"/>
    <w:rsid w:val="005176EC"/>
    <w:rsid w:val="0051790F"/>
    <w:rsid w:val="00517ACA"/>
    <w:rsid w:val="00517FD3"/>
    <w:rsid w:val="00520084"/>
    <w:rsid w:val="005204D6"/>
    <w:rsid w:val="00520DDD"/>
    <w:rsid w:val="005222D9"/>
    <w:rsid w:val="00522383"/>
    <w:rsid w:val="00522888"/>
    <w:rsid w:val="00522D1F"/>
    <w:rsid w:val="00523034"/>
    <w:rsid w:val="00523342"/>
    <w:rsid w:val="00523713"/>
    <w:rsid w:val="00523A37"/>
    <w:rsid w:val="00525C21"/>
    <w:rsid w:val="00525FB3"/>
    <w:rsid w:val="00526280"/>
    <w:rsid w:val="005264FD"/>
    <w:rsid w:val="00526531"/>
    <w:rsid w:val="00526B53"/>
    <w:rsid w:val="00526C39"/>
    <w:rsid w:val="005271A9"/>
    <w:rsid w:val="005273FB"/>
    <w:rsid w:val="005309DC"/>
    <w:rsid w:val="00530D2C"/>
    <w:rsid w:val="005310B4"/>
    <w:rsid w:val="005317AC"/>
    <w:rsid w:val="00531E7F"/>
    <w:rsid w:val="005322C7"/>
    <w:rsid w:val="0053260D"/>
    <w:rsid w:val="0053272D"/>
    <w:rsid w:val="005335C6"/>
    <w:rsid w:val="00533759"/>
    <w:rsid w:val="005337E8"/>
    <w:rsid w:val="00533B79"/>
    <w:rsid w:val="00534BF8"/>
    <w:rsid w:val="00535C0E"/>
    <w:rsid w:val="0053656A"/>
    <w:rsid w:val="00540C04"/>
    <w:rsid w:val="00541647"/>
    <w:rsid w:val="00541A58"/>
    <w:rsid w:val="00542355"/>
    <w:rsid w:val="00542662"/>
    <w:rsid w:val="005429D7"/>
    <w:rsid w:val="00543905"/>
    <w:rsid w:val="005439EB"/>
    <w:rsid w:val="00543BC7"/>
    <w:rsid w:val="00544254"/>
    <w:rsid w:val="005448D8"/>
    <w:rsid w:val="005453E5"/>
    <w:rsid w:val="00546E13"/>
    <w:rsid w:val="00547652"/>
    <w:rsid w:val="0055007E"/>
    <w:rsid w:val="00551074"/>
    <w:rsid w:val="00551625"/>
    <w:rsid w:val="005516EB"/>
    <w:rsid w:val="00551F67"/>
    <w:rsid w:val="005520E8"/>
    <w:rsid w:val="00552A34"/>
    <w:rsid w:val="00552D44"/>
    <w:rsid w:val="00552D60"/>
    <w:rsid w:val="00553007"/>
    <w:rsid w:val="00553AD8"/>
    <w:rsid w:val="00553CF5"/>
    <w:rsid w:val="00553F47"/>
    <w:rsid w:val="005551E1"/>
    <w:rsid w:val="00556119"/>
    <w:rsid w:val="00556C24"/>
    <w:rsid w:val="005571D6"/>
    <w:rsid w:val="00557631"/>
    <w:rsid w:val="00557DFB"/>
    <w:rsid w:val="00561B94"/>
    <w:rsid w:val="00562256"/>
    <w:rsid w:val="00562805"/>
    <w:rsid w:val="00562C82"/>
    <w:rsid w:val="00563530"/>
    <w:rsid w:val="0056385C"/>
    <w:rsid w:val="00563EE1"/>
    <w:rsid w:val="00564558"/>
    <w:rsid w:val="0056471D"/>
    <w:rsid w:val="00564844"/>
    <w:rsid w:val="00564CD7"/>
    <w:rsid w:val="005651E7"/>
    <w:rsid w:val="005652B2"/>
    <w:rsid w:val="005658A4"/>
    <w:rsid w:val="00565CEB"/>
    <w:rsid w:val="005669CC"/>
    <w:rsid w:val="005669F2"/>
    <w:rsid w:val="00566A49"/>
    <w:rsid w:val="00566CFC"/>
    <w:rsid w:val="005700D9"/>
    <w:rsid w:val="00570F34"/>
    <w:rsid w:val="00570F9A"/>
    <w:rsid w:val="005710BA"/>
    <w:rsid w:val="005714FF"/>
    <w:rsid w:val="00571E7B"/>
    <w:rsid w:val="005725D0"/>
    <w:rsid w:val="005739C7"/>
    <w:rsid w:val="00573A19"/>
    <w:rsid w:val="00573CB2"/>
    <w:rsid w:val="0057474A"/>
    <w:rsid w:val="005749C1"/>
    <w:rsid w:val="00575CF1"/>
    <w:rsid w:val="005761CE"/>
    <w:rsid w:val="0057638E"/>
    <w:rsid w:val="005765FA"/>
    <w:rsid w:val="0057776D"/>
    <w:rsid w:val="00577AAC"/>
    <w:rsid w:val="005800CA"/>
    <w:rsid w:val="0058080E"/>
    <w:rsid w:val="00580E97"/>
    <w:rsid w:val="00581807"/>
    <w:rsid w:val="00581A7D"/>
    <w:rsid w:val="00582AD2"/>
    <w:rsid w:val="00582AD5"/>
    <w:rsid w:val="00583B31"/>
    <w:rsid w:val="00583DA0"/>
    <w:rsid w:val="005841E5"/>
    <w:rsid w:val="00585D83"/>
    <w:rsid w:val="00585EB9"/>
    <w:rsid w:val="00586EAD"/>
    <w:rsid w:val="00587B2A"/>
    <w:rsid w:val="00590245"/>
    <w:rsid w:val="0059053A"/>
    <w:rsid w:val="00590868"/>
    <w:rsid w:val="00590CC2"/>
    <w:rsid w:val="00591183"/>
    <w:rsid w:val="00591656"/>
    <w:rsid w:val="005922F6"/>
    <w:rsid w:val="00592675"/>
    <w:rsid w:val="005936E9"/>
    <w:rsid w:val="005939CC"/>
    <w:rsid w:val="005939EA"/>
    <w:rsid w:val="00593ED5"/>
    <w:rsid w:val="0059457B"/>
    <w:rsid w:val="005950BE"/>
    <w:rsid w:val="00596971"/>
    <w:rsid w:val="00596C42"/>
    <w:rsid w:val="00597199"/>
    <w:rsid w:val="00597E3D"/>
    <w:rsid w:val="005A064B"/>
    <w:rsid w:val="005A0BBD"/>
    <w:rsid w:val="005A1567"/>
    <w:rsid w:val="005A464F"/>
    <w:rsid w:val="005A4999"/>
    <w:rsid w:val="005A5F7B"/>
    <w:rsid w:val="005A63F5"/>
    <w:rsid w:val="005A6DF3"/>
    <w:rsid w:val="005A70C9"/>
    <w:rsid w:val="005B08B8"/>
    <w:rsid w:val="005B141F"/>
    <w:rsid w:val="005B1435"/>
    <w:rsid w:val="005B1D46"/>
    <w:rsid w:val="005B20AE"/>
    <w:rsid w:val="005B25F5"/>
    <w:rsid w:val="005B2FC6"/>
    <w:rsid w:val="005B3226"/>
    <w:rsid w:val="005B33B0"/>
    <w:rsid w:val="005B3E34"/>
    <w:rsid w:val="005B40F6"/>
    <w:rsid w:val="005B4747"/>
    <w:rsid w:val="005B5535"/>
    <w:rsid w:val="005B5BC0"/>
    <w:rsid w:val="005B5D6B"/>
    <w:rsid w:val="005B62FE"/>
    <w:rsid w:val="005B638C"/>
    <w:rsid w:val="005B7F39"/>
    <w:rsid w:val="005C05AD"/>
    <w:rsid w:val="005C0947"/>
    <w:rsid w:val="005C0ADB"/>
    <w:rsid w:val="005C0B25"/>
    <w:rsid w:val="005C0C2E"/>
    <w:rsid w:val="005C2845"/>
    <w:rsid w:val="005C3C95"/>
    <w:rsid w:val="005C3DFD"/>
    <w:rsid w:val="005C679A"/>
    <w:rsid w:val="005D0023"/>
    <w:rsid w:val="005D121F"/>
    <w:rsid w:val="005D221D"/>
    <w:rsid w:val="005D2723"/>
    <w:rsid w:val="005D3CB6"/>
    <w:rsid w:val="005D5296"/>
    <w:rsid w:val="005D60E5"/>
    <w:rsid w:val="005D6562"/>
    <w:rsid w:val="005D7623"/>
    <w:rsid w:val="005D7A12"/>
    <w:rsid w:val="005E0599"/>
    <w:rsid w:val="005E084F"/>
    <w:rsid w:val="005E0877"/>
    <w:rsid w:val="005E0CA3"/>
    <w:rsid w:val="005E0E7C"/>
    <w:rsid w:val="005E1058"/>
    <w:rsid w:val="005E27B8"/>
    <w:rsid w:val="005E3291"/>
    <w:rsid w:val="005E33A7"/>
    <w:rsid w:val="005E3DBD"/>
    <w:rsid w:val="005E4906"/>
    <w:rsid w:val="005E55F5"/>
    <w:rsid w:val="005E560C"/>
    <w:rsid w:val="005E5966"/>
    <w:rsid w:val="005E5B79"/>
    <w:rsid w:val="005E5D46"/>
    <w:rsid w:val="005E6586"/>
    <w:rsid w:val="005E6E00"/>
    <w:rsid w:val="005F0734"/>
    <w:rsid w:val="005F08B8"/>
    <w:rsid w:val="005F3280"/>
    <w:rsid w:val="005F3549"/>
    <w:rsid w:val="005F39D7"/>
    <w:rsid w:val="005F3AE6"/>
    <w:rsid w:val="005F3B0B"/>
    <w:rsid w:val="005F49FC"/>
    <w:rsid w:val="005F4DA7"/>
    <w:rsid w:val="005F5FE1"/>
    <w:rsid w:val="005F6056"/>
    <w:rsid w:val="005F64A5"/>
    <w:rsid w:val="005F65B0"/>
    <w:rsid w:val="005F69AB"/>
    <w:rsid w:val="005F75DB"/>
    <w:rsid w:val="005F7717"/>
    <w:rsid w:val="00600ABE"/>
    <w:rsid w:val="00600CD7"/>
    <w:rsid w:val="00604364"/>
    <w:rsid w:val="00604735"/>
    <w:rsid w:val="0060490B"/>
    <w:rsid w:val="0060541A"/>
    <w:rsid w:val="00606510"/>
    <w:rsid w:val="006069F9"/>
    <w:rsid w:val="00606DAE"/>
    <w:rsid w:val="006071BA"/>
    <w:rsid w:val="00607B3E"/>
    <w:rsid w:val="00607F32"/>
    <w:rsid w:val="006102E0"/>
    <w:rsid w:val="00610421"/>
    <w:rsid w:val="00610516"/>
    <w:rsid w:val="0061080B"/>
    <w:rsid w:val="00610873"/>
    <w:rsid w:val="006108A6"/>
    <w:rsid w:val="00611028"/>
    <w:rsid w:val="00611141"/>
    <w:rsid w:val="006124E7"/>
    <w:rsid w:val="0061263E"/>
    <w:rsid w:val="00612C5A"/>
    <w:rsid w:val="00613364"/>
    <w:rsid w:val="00613D81"/>
    <w:rsid w:val="00613F4B"/>
    <w:rsid w:val="0061476D"/>
    <w:rsid w:val="00614F87"/>
    <w:rsid w:val="006150A3"/>
    <w:rsid w:val="00615646"/>
    <w:rsid w:val="00615841"/>
    <w:rsid w:val="00615871"/>
    <w:rsid w:val="00615AD4"/>
    <w:rsid w:val="006171CC"/>
    <w:rsid w:val="0061722F"/>
    <w:rsid w:val="006174A9"/>
    <w:rsid w:val="006209D3"/>
    <w:rsid w:val="0062176A"/>
    <w:rsid w:val="0062205E"/>
    <w:rsid w:val="00622673"/>
    <w:rsid w:val="00622842"/>
    <w:rsid w:val="00622D59"/>
    <w:rsid w:val="00622E8B"/>
    <w:rsid w:val="0062353D"/>
    <w:rsid w:val="006253C3"/>
    <w:rsid w:val="0062564F"/>
    <w:rsid w:val="00625827"/>
    <w:rsid w:val="00625AA4"/>
    <w:rsid w:val="00625C97"/>
    <w:rsid w:val="00626B6D"/>
    <w:rsid w:val="00626CD7"/>
    <w:rsid w:val="006276F1"/>
    <w:rsid w:val="00627CFA"/>
    <w:rsid w:val="00630089"/>
    <w:rsid w:val="0063015F"/>
    <w:rsid w:val="00630CD6"/>
    <w:rsid w:val="00630E7D"/>
    <w:rsid w:val="0063137A"/>
    <w:rsid w:val="00631A1F"/>
    <w:rsid w:val="0063267C"/>
    <w:rsid w:val="006331F4"/>
    <w:rsid w:val="00633252"/>
    <w:rsid w:val="0063331E"/>
    <w:rsid w:val="0063389C"/>
    <w:rsid w:val="00633E43"/>
    <w:rsid w:val="00635010"/>
    <w:rsid w:val="00635D11"/>
    <w:rsid w:val="0063642C"/>
    <w:rsid w:val="00636983"/>
    <w:rsid w:val="00637419"/>
    <w:rsid w:val="006404FF"/>
    <w:rsid w:val="0064157C"/>
    <w:rsid w:val="00642B3A"/>
    <w:rsid w:val="00644130"/>
    <w:rsid w:val="006453B9"/>
    <w:rsid w:val="00646006"/>
    <w:rsid w:val="00647354"/>
    <w:rsid w:val="006478E7"/>
    <w:rsid w:val="006508BC"/>
    <w:rsid w:val="00651005"/>
    <w:rsid w:val="0065104C"/>
    <w:rsid w:val="00651CE2"/>
    <w:rsid w:val="00653464"/>
    <w:rsid w:val="006537F7"/>
    <w:rsid w:val="0065384D"/>
    <w:rsid w:val="00653BD5"/>
    <w:rsid w:val="0065406F"/>
    <w:rsid w:val="006552EA"/>
    <w:rsid w:val="006553CA"/>
    <w:rsid w:val="00655624"/>
    <w:rsid w:val="00656336"/>
    <w:rsid w:val="00656DFF"/>
    <w:rsid w:val="00657897"/>
    <w:rsid w:val="00660DB2"/>
    <w:rsid w:val="0066125A"/>
    <w:rsid w:val="0066125F"/>
    <w:rsid w:val="00661E14"/>
    <w:rsid w:val="00662A64"/>
    <w:rsid w:val="006639AC"/>
    <w:rsid w:val="00663CAF"/>
    <w:rsid w:val="006645FB"/>
    <w:rsid w:val="00666395"/>
    <w:rsid w:val="00666905"/>
    <w:rsid w:val="00666DD6"/>
    <w:rsid w:val="006705AD"/>
    <w:rsid w:val="00670763"/>
    <w:rsid w:val="00671AAE"/>
    <w:rsid w:val="00672661"/>
    <w:rsid w:val="0067303F"/>
    <w:rsid w:val="0067308E"/>
    <w:rsid w:val="00674C8E"/>
    <w:rsid w:val="006774E0"/>
    <w:rsid w:val="006777B6"/>
    <w:rsid w:val="00677B4F"/>
    <w:rsid w:val="00680183"/>
    <w:rsid w:val="00680FA5"/>
    <w:rsid w:val="006810DE"/>
    <w:rsid w:val="0068188B"/>
    <w:rsid w:val="00682648"/>
    <w:rsid w:val="00682B74"/>
    <w:rsid w:val="00683D08"/>
    <w:rsid w:val="00683D43"/>
    <w:rsid w:val="0068458F"/>
    <w:rsid w:val="00684ED2"/>
    <w:rsid w:val="00685188"/>
    <w:rsid w:val="00685CE1"/>
    <w:rsid w:val="00685E41"/>
    <w:rsid w:val="00685ECC"/>
    <w:rsid w:val="0068630A"/>
    <w:rsid w:val="00686813"/>
    <w:rsid w:val="00686E8C"/>
    <w:rsid w:val="00687114"/>
    <w:rsid w:val="00687115"/>
    <w:rsid w:val="006873F5"/>
    <w:rsid w:val="00691D6A"/>
    <w:rsid w:val="00692028"/>
    <w:rsid w:val="00692AE5"/>
    <w:rsid w:val="00693518"/>
    <w:rsid w:val="006939DD"/>
    <w:rsid w:val="00694E50"/>
    <w:rsid w:val="00696056"/>
    <w:rsid w:val="0069622B"/>
    <w:rsid w:val="006971A6"/>
    <w:rsid w:val="0069735F"/>
    <w:rsid w:val="006975EA"/>
    <w:rsid w:val="00697618"/>
    <w:rsid w:val="00697B0B"/>
    <w:rsid w:val="00697EC6"/>
    <w:rsid w:val="006A06F2"/>
    <w:rsid w:val="006A0996"/>
    <w:rsid w:val="006A0D77"/>
    <w:rsid w:val="006A0E52"/>
    <w:rsid w:val="006A15E8"/>
    <w:rsid w:val="006A3615"/>
    <w:rsid w:val="006A6E37"/>
    <w:rsid w:val="006A6E97"/>
    <w:rsid w:val="006A6EAB"/>
    <w:rsid w:val="006A76A0"/>
    <w:rsid w:val="006A784B"/>
    <w:rsid w:val="006A7DB5"/>
    <w:rsid w:val="006A7F05"/>
    <w:rsid w:val="006B06FD"/>
    <w:rsid w:val="006B0C2E"/>
    <w:rsid w:val="006B170E"/>
    <w:rsid w:val="006B2286"/>
    <w:rsid w:val="006B346F"/>
    <w:rsid w:val="006B368F"/>
    <w:rsid w:val="006B4BD3"/>
    <w:rsid w:val="006B53F5"/>
    <w:rsid w:val="006B5BA4"/>
    <w:rsid w:val="006B6FDF"/>
    <w:rsid w:val="006B74B5"/>
    <w:rsid w:val="006B7C15"/>
    <w:rsid w:val="006C0164"/>
    <w:rsid w:val="006C0202"/>
    <w:rsid w:val="006C0711"/>
    <w:rsid w:val="006C1366"/>
    <w:rsid w:val="006C34B5"/>
    <w:rsid w:val="006C545D"/>
    <w:rsid w:val="006C56CA"/>
    <w:rsid w:val="006C5920"/>
    <w:rsid w:val="006C5C64"/>
    <w:rsid w:val="006C5E84"/>
    <w:rsid w:val="006C661C"/>
    <w:rsid w:val="006C6954"/>
    <w:rsid w:val="006D0B18"/>
    <w:rsid w:val="006D0B74"/>
    <w:rsid w:val="006D1B53"/>
    <w:rsid w:val="006D2869"/>
    <w:rsid w:val="006D29D8"/>
    <w:rsid w:val="006D370B"/>
    <w:rsid w:val="006D4E39"/>
    <w:rsid w:val="006D51D8"/>
    <w:rsid w:val="006D5472"/>
    <w:rsid w:val="006D6488"/>
    <w:rsid w:val="006D7212"/>
    <w:rsid w:val="006D7D6B"/>
    <w:rsid w:val="006E0055"/>
    <w:rsid w:val="006E08D9"/>
    <w:rsid w:val="006E0AD1"/>
    <w:rsid w:val="006E146A"/>
    <w:rsid w:val="006E14A6"/>
    <w:rsid w:val="006E1DA1"/>
    <w:rsid w:val="006E1DA3"/>
    <w:rsid w:val="006E2489"/>
    <w:rsid w:val="006E280C"/>
    <w:rsid w:val="006E296F"/>
    <w:rsid w:val="006E32C9"/>
    <w:rsid w:val="006E3328"/>
    <w:rsid w:val="006E34FC"/>
    <w:rsid w:val="006E4E18"/>
    <w:rsid w:val="006E56C9"/>
    <w:rsid w:val="006E57D3"/>
    <w:rsid w:val="006E5A73"/>
    <w:rsid w:val="006E5DFD"/>
    <w:rsid w:val="006E61B2"/>
    <w:rsid w:val="006E720E"/>
    <w:rsid w:val="006E7A50"/>
    <w:rsid w:val="006F07E9"/>
    <w:rsid w:val="006F11D2"/>
    <w:rsid w:val="006F1872"/>
    <w:rsid w:val="006F20E2"/>
    <w:rsid w:val="006F244A"/>
    <w:rsid w:val="006F2CA6"/>
    <w:rsid w:val="006F4334"/>
    <w:rsid w:val="006F5676"/>
    <w:rsid w:val="006F774B"/>
    <w:rsid w:val="007000D7"/>
    <w:rsid w:val="007014AF"/>
    <w:rsid w:val="00702CC7"/>
    <w:rsid w:val="007034F3"/>
    <w:rsid w:val="00704477"/>
    <w:rsid w:val="00704864"/>
    <w:rsid w:val="00705CA3"/>
    <w:rsid w:val="00711E18"/>
    <w:rsid w:val="00713CE6"/>
    <w:rsid w:val="0071402A"/>
    <w:rsid w:val="00714088"/>
    <w:rsid w:val="00714AA5"/>
    <w:rsid w:val="0071569C"/>
    <w:rsid w:val="00715FF9"/>
    <w:rsid w:val="007162D4"/>
    <w:rsid w:val="00716E09"/>
    <w:rsid w:val="00717A12"/>
    <w:rsid w:val="00717C3B"/>
    <w:rsid w:val="00717C53"/>
    <w:rsid w:val="00720408"/>
    <w:rsid w:val="007207B2"/>
    <w:rsid w:val="00720F21"/>
    <w:rsid w:val="007211D3"/>
    <w:rsid w:val="00721CCC"/>
    <w:rsid w:val="0072247A"/>
    <w:rsid w:val="0072294D"/>
    <w:rsid w:val="00722C6D"/>
    <w:rsid w:val="00722E06"/>
    <w:rsid w:val="00723755"/>
    <w:rsid w:val="007238E9"/>
    <w:rsid w:val="007254F1"/>
    <w:rsid w:val="00725A03"/>
    <w:rsid w:val="00725B63"/>
    <w:rsid w:val="00726083"/>
    <w:rsid w:val="00727659"/>
    <w:rsid w:val="0073017B"/>
    <w:rsid w:val="007322A8"/>
    <w:rsid w:val="00732812"/>
    <w:rsid w:val="0073298B"/>
    <w:rsid w:val="00732A76"/>
    <w:rsid w:val="00733A6B"/>
    <w:rsid w:val="007340D5"/>
    <w:rsid w:val="00734567"/>
    <w:rsid w:val="00734D5E"/>
    <w:rsid w:val="00735337"/>
    <w:rsid w:val="00735430"/>
    <w:rsid w:val="00735F6C"/>
    <w:rsid w:val="00735F8A"/>
    <w:rsid w:val="007365BE"/>
    <w:rsid w:val="00737E57"/>
    <w:rsid w:val="0074026E"/>
    <w:rsid w:val="007405D0"/>
    <w:rsid w:val="00740A10"/>
    <w:rsid w:val="00740C3A"/>
    <w:rsid w:val="00741067"/>
    <w:rsid w:val="00741401"/>
    <w:rsid w:val="0074163A"/>
    <w:rsid w:val="00741DA6"/>
    <w:rsid w:val="0074329C"/>
    <w:rsid w:val="007433D8"/>
    <w:rsid w:val="00743AFE"/>
    <w:rsid w:val="00743C0B"/>
    <w:rsid w:val="007448F2"/>
    <w:rsid w:val="00744C70"/>
    <w:rsid w:val="00745213"/>
    <w:rsid w:val="00745551"/>
    <w:rsid w:val="007456D1"/>
    <w:rsid w:val="00745F4B"/>
    <w:rsid w:val="00746332"/>
    <w:rsid w:val="007464B6"/>
    <w:rsid w:val="00746C51"/>
    <w:rsid w:val="00747364"/>
    <w:rsid w:val="00750432"/>
    <w:rsid w:val="00750C75"/>
    <w:rsid w:val="007529A1"/>
    <w:rsid w:val="00755EAD"/>
    <w:rsid w:val="00755FDC"/>
    <w:rsid w:val="00756D4F"/>
    <w:rsid w:val="00757EF8"/>
    <w:rsid w:val="00760C2F"/>
    <w:rsid w:val="007617B7"/>
    <w:rsid w:val="00762A34"/>
    <w:rsid w:val="007643A9"/>
    <w:rsid w:val="007643ED"/>
    <w:rsid w:val="00764EC9"/>
    <w:rsid w:val="00765AEA"/>
    <w:rsid w:val="00765B01"/>
    <w:rsid w:val="00765CAA"/>
    <w:rsid w:val="00765EB1"/>
    <w:rsid w:val="00766020"/>
    <w:rsid w:val="00766947"/>
    <w:rsid w:val="00766DD8"/>
    <w:rsid w:val="00767453"/>
    <w:rsid w:val="00767D9A"/>
    <w:rsid w:val="00767ECA"/>
    <w:rsid w:val="00770AC4"/>
    <w:rsid w:val="007714C0"/>
    <w:rsid w:val="007714DD"/>
    <w:rsid w:val="00771C04"/>
    <w:rsid w:val="00771CA6"/>
    <w:rsid w:val="00772242"/>
    <w:rsid w:val="0077279D"/>
    <w:rsid w:val="00773528"/>
    <w:rsid w:val="0077393E"/>
    <w:rsid w:val="0077479E"/>
    <w:rsid w:val="00776393"/>
    <w:rsid w:val="00776B42"/>
    <w:rsid w:val="0077713E"/>
    <w:rsid w:val="007778C9"/>
    <w:rsid w:val="00777F09"/>
    <w:rsid w:val="007803FE"/>
    <w:rsid w:val="00780C97"/>
    <w:rsid w:val="0078180D"/>
    <w:rsid w:val="00782129"/>
    <w:rsid w:val="00782CD9"/>
    <w:rsid w:val="00782DC7"/>
    <w:rsid w:val="00783074"/>
    <w:rsid w:val="00784394"/>
    <w:rsid w:val="007847F9"/>
    <w:rsid w:val="00785866"/>
    <w:rsid w:val="00785D79"/>
    <w:rsid w:val="00786099"/>
    <w:rsid w:val="00787899"/>
    <w:rsid w:val="0079068D"/>
    <w:rsid w:val="00790A9B"/>
    <w:rsid w:val="00791C52"/>
    <w:rsid w:val="00792341"/>
    <w:rsid w:val="00792690"/>
    <w:rsid w:val="00792BA4"/>
    <w:rsid w:val="007934D6"/>
    <w:rsid w:val="00793E3D"/>
    <w:rsid w:val="007945F3"/>
    <w:rsid w:val="0079512A"/>
    <w:rsid w:val="00796275"/>
    <w:rsid w:val="00796E1D"/>
    <w:rsid w:val="007A078C"/>
    <w:rsid w:val="007A1C9E"/>
    <w:rsid w:val="007A23D5"/>
    <w:rsid w:val="007A2D5D"/>
    <w:rsid w:val="007A34AC"/>
    <w:rsid w:val="007A4156"/>
    <w:rsid w:val="007A48A3"/>
    <w:rsid w:val="007A4A9F"/>
    <w:rsid w:val="007A4AD8"/>
    <w:rsid w:val="007A4FEB"/>
    <w:rsid w:val="007A50C0"/>
    <w:rsid w:val="007A5F24"/>
    <w:rsid w:val="007A6608"/>
    <w:rsid w:val="007A6A8B"/>
    <w:rsid w:val="007A6AA6"/>
    <w:rsid w:val="007B0D80"/>
    <w:rsid w:val="007B0FCE"/>
    <w:rsid w:val="007B24BC"/>
    <w:rsid w:val="007B25B2"/>
    <w:rsid w:val="007B2F95"/>
    <w:rsid w:val="007B31EB"/>
    <w:rsid w:val="007B39EF"/>
    <w:rsid w:val="007B3A1C"/>
    <w:rsid w:val="007B4728"/>
    <w:rsid w:val="007B4B9E"/>
    <w:rsid w:val="007B4C3C"/>
    <w:rsid w:val="007B4D23"/>
    <w:rsid w:val="007B5530"/>
    <w:rsid w:val="007B5EE5"/>
    <w:rsid w:val="007B6F22"/>
    <w:rsid w:val="007B79CB"/>
    <w:rsid w:val="007C0D94"/>
    <w:rsid w:val="007C1BC9"/>
    <w:rsid w:val="007C274F"/>
    <w:rsid w:val="007C2D0B"/>
    <w:rsid w:val="007C2EB4"/>
    <w:rsid w:val="007C3514"/>
    <w:rsid w:val="007C3752"/>
    <w:rsid w:val="007C48BF"/>
    <w:rsid w:val="007C52DD"/>
    <w:rsid w:val="007C5A64"/>
    <w:rsid w:val="007C6B54"/>
    <w:rsid w:val="007C7CA2"/>
    <w:rsid w:val="007D1F99"/>
    <w:rsid w:val="007D2311"/>
    <w:rsid w:val="007D2E79"/>
    <w:rsid w:val="007D335F"/>
    <w:rsid w:val="007D46B1"/>
    <w:rsid w:val="007D4DB6"/>
    <w:rsid w:val="007D4FED"/>
    <w:rsid w:val="007D5DCE"/>
    <w:rsid w:val="007D63F3"/>
    <w:rsid w:val="007D74D5"/>
    <w:rsid w:val="007D7AB5"/>
    <w:rsid w:val="007E09CE"/>
    <w:rsid w:val="007E0C35"/>
    <w:rsid w:val="007E1A94"/>
    <w:rsid w:val="007E1C43"/>
    <w:rsid w:val="007E258F"/>
    <w:rsid w:val="007E2D25"/>
    <w:rsid w:val="007E334E"/>
    <w:rsid w:val="007E34E3"/>
    <w:rsid w:val="007E5FC6"/>
    <w:rsid w:val="007E7F15"/>
    <w:rsid w:val="007F17B9"/>
    <w:rsid w:val="007F19C9"/>
    <w:rsid w:val="007F2280"/>
    <w:rsid w:val="007F2CBE"/>
    <w:rsid w:val="007F3C54"/>
    <w:rsid w:val="007F4B5D"/>
    <w:rsid w:val="007F56FB"/>
    <w:rsid w:val="007F58F4"/>
    <w:rsid w:val="007F5DA6"/>
    <w:rsid w:val="007F6233"/>
    <w:rsid w:val="007F63D8"/>
    <w:rsid w:val="007F671B"/>
    <w:rsid w:val="007F70D1"/>
    <w:rsid w:val="007F76D3"/>
    <w:rsid w:val="007F78D9"/>
    <w:rsid w:val="00800D8C"/>
    <w:rsid w:val="00800FAF"/>
    <w:rsid w:val="00801E33"/>
    <w:rsid w:val="008029B2"/>
    <w:rsid w:val="00802CD6"/>
    <w:rsid w:val="00802DC5"/>
    <w:rsid w:val="00803BCC"/>
    <w:rsid w:val="00803EB1"/>
    <w:rsid w:val="0080417E"/>
    <w:rsid w:val="00805359"/>
    <w:rsid w:val="00805B82"/>
    <w:rsid w:val="0080604B"/>
    <w:rsid w:val="00806CA4"/>
    <w:rsid w:val="00807B76"/>
    <w:rsid w:val="00807FC4"/>
    <w:rsid w:val="00810069"/>
    <w:rsid w:val="008104CA"/>
    <w:rsid w:val="008105E0"/>
    <w:rsid w:val="00810A3E"/>
    <w:rsid w:val="00810BE4"/>
    <w:rsid w:val="00811474"/>
    <w:rsid w:val="0081193D"/>
    <w:rsid w:val="00812875"/>
    <w:rsid w:val="00812A3F"/>
    <w:rsid w:val="00813936"/>
    <w:rsid w:val="00813D33"/>
    <w:rsid w:val="00813F47"/>
    <w:rsid w:val="00814D3A"/>
    <w:rsid w:val="00814F18"/>
    <w:rsid w:val="00815388"/>
    <w:rsid w:val="008156A0"/>
    <w:rsid w:val="00815FA5"/>
    <w:rsid w:val="008164B9"/>
    <w:rsid w:val="00817F28"/>
    <w:rsid w:val="0082191A"/>
    <w:rsid w:val="00822219"/>
    <w:rsid w:val="00822392"/>
    <w:rsid w:val="0082464C"/>
    <w:rsid w:val="008250AD"/>
    <w:rsid w:val="0083322E"/>
    <w:rsid w:val="008332E0"/>
    <w:rsid w:val="0083343C"/>
    <w:rsid w:val="00833EF6"/>
    <w:rsid w:val="00834B2F"/>
    <w:rsid w:val="00835C99"/>
    <w:rsid w:val="00836A7A"/>
    <w:rsid w:val="00836D6F"/>
    <w:rsid w:val="0083740B"/>
    <w:rsid w:val="00840061"/>
    <w:rsid w:val="008409A1"/>
    <w:rsid w:val="00841E2A"/>
    <w:rsid w:val="00842097"/>
    <w:rsid w:val="00842298"/>
    <w:rsid w:val="00842A46"/>
    <w:rsid w:val="00842B9B"/>
    <w:rsid w:val="00843386"/>
    <w:rsid w:val="008435A5"/>
    <w:rsid w:val="00844259"/>
    <w:rsid w:val="008445C6"/>
    <w:rsid w:val="0084499E"/>
    <w:rsid w:val="00844A37"/>
    <w:rsid w:val="00845588"/>
    <w:rsid w:val="00845C9E"/>
    <w:rsid w:val="00846222"/>
    <w:rsid w:val="0084638A"/>
    <w:rsid w:val="0084658A"/>
    <w:rsid w:val="008466C1"/>
    <w:rsid w:val="00846701"/>
    <w:rsid w:val="00846F4D"/>
    <w:rsid w:val="00846FF5"/>
    <w:rsid w:val="008471AE"/>
    <w:rsid w:val="008479EF"/>
    <w:rsid w:val="00847D5F"/>
    <w:rsid w:val="00850196"/>
    <w:rsid w:val="0085092E"/>
    <w:rsid w:val="00850C11"/>
    <w:rsid w:val="00850F7F"/>
    <w:rsid w:val="00851A82"/>
    <w:rsid w:val="00851A9D"/>
    <w:rsid w:val="00851FC9"/>
    <w:rsid w:val="00852246"/>
    <w:rsid w:val="00853DBA"/>
    <w:rsid w:val="00853E7A"/>
    <w:rsid w:val="008558B5"/>
    <w:rsid w:val="00855EF3"/>
    <w:rsid w:val="00857781"/>
    <w:rsid w:val="00860CE3"/>
    <w:rsid w:val="00861279"/>
    <w:rsid w:val="00862343"/>
    <w:rsid w:val="00862549"/>
    <w:rsid w:val="00862ADC"/>
    <w:rsid w:val="00864FD8"/>
    <w:rsid w:val="00865F33"/>
    <w:rsid w:val="00866A41"/>
    <w:rsid w:val="00872472"/>
    <w:rsid w:val="0087268C"/>
    <w:rsid w:val="00873686"/>
    <w:rsid w:val="00873D77"/>
    <w:rsid w:val="00874734"/>
    <w:rsid w:val="00874CBB"/>
    <w:rsid w:val="008753D3"/>
    <w:rsid w:val="008754D8"/>
    <w:rsid w:val="00876C6A"/>
    <w:rsid w:val="00876D1C"/>
    <w:rsid w:val="008801D6"/>
    <w:rsid w:val="00880B57"/>
    <w:rsid w:val="00880BE3"/>
    <w:rsid w:val="00880BE6"/>
    <w:rsid w:val="00880EAC"/>
    <w:rsid w:val="00881AF8"/>
    <w:rsid w:val="008842AC"/>
    <w:rsid w:val="008846B4"/>
    <w:rsid w:val="00884E13"/>
    <w:rsid w:val="00885DC9"/>
    <w:rsid w:val="008872B5"/>
    <w:rsid w:val="00892A0D"/>
    <w:rsid w:val="00893160"/>
    <w:rsid w:val="00893164"/>
    <w:rsid w:val="0089325C"/>
    <w:rsid w:val="008933F4"/>
    <w:rsid w:val="0089352A"/>
    <w:rsid w:val="008937B6"/>
    <w:rsid w:val="00894A4A"/>
    <w:rsid w:val="00894C58"/>
    <w:rsid w:val="008956AC"/>
    <w:rsid w:val="00896903"/>
    <w:rsid w:val="0089721F"/>
    <w:rsid w:val="008A029E"/>
    <w:rsid w:val="008A0437"/>
    <w:rsid w:val="008A0EF4"/>
    <w:rsid w:val="008A143A"/>
    <w:rsid w:val="008A1AD3"/>
    <w:rsid w:val="008A1CEB"/>
    <w:rsid w:val="008A2312"/>
    <w:rsid w:val="008A2695"/>
    <w:rsid w:val="008A297C"/>
    <w:rsid w:val="008A2D32"/>
    <w:rsid w:val="008A47C1"/>
    <w:rsid w:val="008A57DB"/>
    <w:rsid w:val="008A5DCF"/>
    <w:rsid w:val="008A602B"/>
    <w:rsid w:val="008A604E"/>
    <w:rsid w:val="008B02AC"/>
    <w:rsid w:val="008B0E4A"/>
    <w:rsid w:val="008B3054"/>
    <w:rsid w:val="008B3D46"/>
    <w:rsid w:val="008B4A5F"/>
    <w:rsid w:val="008B52A4"/>
    <w:rsid w:val="008B5E08"/>
    <w:rsid w:val="008B6D04"/>
    <w:rsid w:val="008B6FA9"/>
    <w:rsid w:val="008B7820"/>
    <w:rsid w:val="008C104D"/>
    <w:rsid w:val="008C1A63"/>
    <w:rsid w:val="008C311B"/>
    <w:rsid w:val="008C34F0"/>
    <w:rsid w:val="008C3A8D"/>
    <w:rsid w:val="008C45D8"/>
    <w:rsid w:val="008C4606"/>
    <w:rsid w:val="008C52EF"/>
    <w:rsid w:val="008C53AF"/>
    <w:rsid w:val="008C7207"/>
    <w:rsid w:val="008C7A4F"/>
    <w:rsid w:val="008D0F32"/>
    <w:rsid w:val="008D1089"/>
    <w:rsid w:val="008D114F"/>
    <w:rsid w:val="008D14E0"/>
    <w:rsid w:val="008D1FCE"/>
    <w:rsid w:val="008D25B1"/>
    <w:rsid w:val="008D28C7"/>
    <w:rsid w:val="008D3751"/>
    <w:rsid w:val="008D3BC5"/>
    <w:rsid w:val="008D53DE"/>
    <w:rsid w:val="008D54D4"/>
    <w:rsid w:val="008D58F4"/>
    <w:rsid w:val="008D6B6E"/>
    <w:rsid w:val="008D7020"/>
    <w:rsid w:val="008D7629"/>
    <w:rsid w:val="008D7B69"/>
    <w:rsid w:val="008E0571"/>
    <w:rsid w:val="008E0A7D"/>
    <w:rsid w:val="008E1639"/>
    <w:rsid w:val="008E2108"/>
    <w:rsid w:val="008E232C"/>
    <w:rsid w:val="008E3120"/>
    <w:rsid w:val="008E4DD3"/>
    <w:rsid w:val="008E5EE0"/>
    <w:rsid w:val="008E645E"/>
    <w:rsid w:val="008E705F"/>
    <w:rsid w:val="008E7DD3"/>
    <w:rsid w:val="008F0E18"/>
    <w:rsid w:val="008F0E59"/>
    <w:rsid w:val="008F1172"/>
    <w:rsid w:val="008F2351"/>
    <w:rsid w:val="008F33C6"/>
    <w:rsid w:val="008F3BC8"/>
    <w:rsid w:val="008F486C"/>
    <w:rsid w:val="008F4A0C"/>
    <w:rsid w:val="008F597A"/>
    <w:rsid w:val="008F5F80"/>
    <w:rsid w:val="008F60CE"/>
    <w:rsid w:val="008F7127"/>
    <w:rsid w:val="008F759A"/>
    <w:rsid w:val="009000C4"/>
    <w:rsid w:val="009005DF"/>
    <w:rsid w:val="00900CD3"/>
    <w:rsid w:val="00901259"/>
    <w:rsid w:val="0090179F"/>
    <w:rsid w:val="00901E53"/>
    <w:rsid w:val="00902665"/>
    <w:rsid w:val="00902821"/>
    <w:rsid w:val="00902FAA"/>
    <w:rsid w:val="00902FCC"/>
    <w:rsid w:val="0090378C"/>
    <w:rsid w:val="00903B86"/>
    <w:rsid w:val="00904601"/>
    <w:rsid w:val="00904A70"/>
    <w:rsid w:val="00904C22"/>
    <w:rsid w:val="00904EE6"/>
    <w:rsid w:val="00904FCD"/>
    <w:rsid w:val="009052AA"/>
    <w:rsid w:val="009058E9"/>
    <w:rsid w:val="009061E2"/>
    <w:rsid w:val="00906BD5"/>
    <w:rsid w:val="00906E46"/>
    <w:rsid w:val="0090735D"/>
    <w:rsid w:val="00907B3E"/>
    <w:rsid w:val="00907D65"/>
    <w:rsid w:val="00910145"/>
    <w:rsid w:val="00910BD2"/>
    <w:rsid w:val="00911CF4"/>
    <w:rsid w:val="009120D4"/>
    <w:rsid w:val="009122F7"/>
    <w:rsid w:val="00912727"/>
    <w:rsid w:val="0091275D"/>
    <w:rsid w:val="00912FFC"/>
    <w:rsid w:val="0091363E"/>
    <w:rsid w:val="00914177"/>
    <w:rsid w:val="009141CF"/>
    <w:rsid w:val="009145D5"/>
    <w:rsid w:val="00914E7D"/>
    <w:rsid w:val="00915ADD"/>
    <w:rsid w:val="00916C45"/>
    <w:rsid w:val="00916F93"/>
    <w:rsid w:val="0091719E"/>
    <w:rsid w:val="009172E6"/>
    <w:rsid w:val="00917338"/>
    <w:rsid w:val="00917CDF"/>
    <w:rsid w:val="00920DB8"/>
    <w:rsid w:val="009211C2"/>
    <w:rsid w:val="00921289"/>
    <w:rsid w:val="00921FBE"/>
    <w:rsid w:val="0092248C"/>
    <w:rsid w:val="00922550"/>
    <w:rsid w:val="00922FBD"/>
    <w:rsid w:val="00926421"/>
    <w:rsid w:val="009303F7"/>
    <w:rsid w:val="009305CD"/>
    <w:rsid w:val="009308F3"/>
    <w:rsid w:val="00932159"/>
    <w:rsid w:val="0093240E"/>
    <w:rsid w:val="00932504"/>
    <w:rsid w:val="00933810"/>
    <w:rsid w:val="00933896"/>
    <w:rsid w:val="00933C6E"/>
    <w:rsid w:val="00933EEF"/>
    <w:rsid w:val="00934AA1"/>
    <w:rsid w:val="00934B56"/>
    <w:rsid w:val="00934DFC"/>
    <w:rsid w:val="009350A8"/>
    <w:rsid w:val="00935284"/>
    <w:rsid w:val="00936B4B"/>
    <w:rsid w:val="00937186"/>
    <w:rsid w:val="00937A6B"/>
    <w:rsid w:val="00940823"/>
    <w:rsid w:val="009409A4"/>
    <w:rsid w:val="00940FD2"/>
    <w:rsid w:val="00942FD4"/>
    <w:rsid w:val="0094359D"/>
    <w:rsid w:val="009435AA"/>
    <w:rsid w:val="00943AC0"/>
    <w:rsid w:val="00943C14"/>
    <w:rsid w:val="00944033"/>
    <w:rsid w:val="00944C8D"/>
    <w:rsid w:val="009457EC"/>
    <w:rsid w:val="00945ABF"/>
    <w:rsid w:val="0094688E"/>
    <w:rsid w:val="00947286"/>
    <w:rsid w:val="00947AA2"/>
    <w:rsid w:val="00947B77"/>
    <w:rsid w:val="00950D93"/>
    <w:rsid w:val="0095112F"/>
    <w:rsid w:val="00951179"/>
    <w:rsid w:val="00951F16"/>
    <w:rsid w:val="00952569"/>
    <w:rsid w:val="00952803"/>
    <w:rsid w:val="00952BE7"/>
    <w:rsid w:val="00954377"/>
    <w:rsid w:val="00954AEA"/>
    <w:rsid w:val="009559EB"/>
    <w:rsid w:val="00955A64"/>
    <w:rsid w:val="009562EA"/>
    <w:rsid w:val="00960086"/>
    <w:rsid w:val="00960416"/>
    <w:rsid w:val="00960529"/>
    <w:rsid w:val="00960995"/>
    <w:rsid w:val="00960A6E"/>
    <w:rsid w:val="00960C4C"/>
    <w:rsid w:val="009614CA"/>
    <w:rsid w:val="0096170D"/>
    <w:rsid w:val="00962095"/>
    <w:rsid w:val="00962252"/>
    <w:rsid w:val="00962A88"/>
    <w:rsid w:val="00962AC3"/>
    <w:rsid w:val="00962C7B"/>
    <w:rsid w:val="00962ED1"/>
    <w:rsid w:val="00965133"/>
    <w:rsid w:val="009656A6"/>
    <w:rsid w:val="009665F3"/>
    <w:rsid w:val="009669A5"/>
    <w:rsid w:val="00967AAF"/>
    <w:rsid w:val="009709EE"/>
    <w:rsid w:val="00971445"/>
    <w:rsid w:val="009714F0"/>
    <w:rsid w:val="009718CB"/>
    <w:rsid w:val="00971DF7"/>
    <w:rsid w:val="009720C8"/>
    <w:rsid w:val="00972A4E"/>
    <w:rsid w:val="00973348"/>
    <w:rsid w:val="00973799"/>
    <w:rsid w:val="009739F9"/>
    <w:rsid w:val="00974D91"/>
    <w:rsid w:val="0097550A"/>
    <w:rsid w:val="00975C84"/>
    <w:rsid w:val="009762DB"/>
    <w:rsid w:val="00976D51"/>
    <w:rsid w:val="0097776B"/>
    <w:rsid w:val="00980320"/>
    <w:rsid w:val="0098080D"/>
    <w:rsid w:val="00980973"/>
    <w:rsid w:val="00980C66"/>
    <w:rsid w:val="00981C3A"/>
    <w:rsid w:val="00982465"/>
    <w:rsid w:val="00982ACB"/>
    <w:rsid w:val="0098388B"/>
    <w:rsid w:val="00983FD7"/>
    <w:rsid w:val="0098408A"/>
    <w:rsid w:val="00984E36"/>
    <w:rsid w:val="009851D3"/>
    <w:rsid w:val="00985424"/>
    <w:rsid w:val="009856E4"/>
    <w:rsid w:val="009857BE"/>
    <w:rsid w:val="00985845"/>
    <w:rsid w:val="00985EB9"/>
    <w:rsid w:val="00986610"/>
    <w:rsid w:val="009868B5"/>
    <w:rsid w:val="00986A13"/>
    <w:rsid w:val="00986C21"/>
    <w:rsid w:val="00987C2D"/>
    <w:rsid w:val="009929B5"/>
    <w:rsid w:val="00993ED2"/>
    <w:rsid w:val="0099449B"/>
    <w:rsid w:val="00995496"/>
    <w:rsid w:val="00996D32"/>
    <w:rsid w:val="009A04BE"/>
    <w:rsid w:val="009A05C7"/>
    <w:rsid w:val="009A103E"/>
    <w:rsid w:val="009A12CE"/>
    <w:rsid w:val="009A174E"/>
    <w:rsid w:val="009A1C7D"/>
    <w:rsid w:val="009A1D90"/>
    <w:rsid w:val="009A2083"/>
    <w:rsid w:val="009A2E02"/>
    <w:rsid w:val="009A4781"/>
    <w:rsid w:val="009A5884"/>
    <w:rsid w:val="009A5B00"/>
    <w:rsid w:val="009A61E3"/>
    <w:rsid w:val="009A62D3"/>
    <w:rsid w:val="009A6CAA"/>
    <w:rsid w:val="009A7219"/>
    <w:rsid w:val="009A7C3A"/>
    <w:rsid w:val="009B003B"/>
    <w:rsid w:val="009B0196"/>
    <w:rsid w:val="009B193F"/>
    <w:rsid w:val="009B24A3"/>
    <w:rsid w:val="009B305F"/>
    <w:rsid w:val="009B367E"/>
    <w:rsid w:val="009B4314"/>
    <w:rsid w:val="009B53ED"/>
    <w:rsid w:val="009B5409"/>
    <w:rsid w:val="009B7216"/>
    <w:rsid w:val="009C0127"/>
    <w:rsid w:val="009C1591"/>
    <w:rsid w:val="009C1DF6"/>
    <w:rsid w:val="009C1F83"/>
    <w:rsid w:val="009C27BA"/>
    <w:rsid w:val="009C2A13"/>
    <w:rsid w:val="009C4161"/>
    <w:rsid w:val="009C4795"/>
    <w:rsid w:val="009C5A75"/>
    <w:rsid w:val="009C5DC2"/>
    <w:rsid w:val="009C6DD7"/>
    <w:rsid w:val="009D0800"/>
    <w:rsid w:val="009D09A4"/>
    <w:rsid w:val="009D15CC"/>
    <w:rsid w:val="009D1DFE"/>
    <w:rsid w:val="009D29ED"/>
    <w:rsid w:val="009D38C4"/>
    <w:rsid w:val="009D4E21"/>
    <w:rsid w:val="009D6802"/>
    <w:rsid w:val="009D74C1"/>
    <w:rsid w:val="009E0B1D"/>
    <w:rsid w:val="009E334A"/>
    <w:rsid w:val="009E39CE"/>
    <w:rsid w:val="009E3FDE"/>
    <w:rsid w:val="009E5CCE"/>
    <w:rsid w:val="009E6D21"/>
    <w:rsid w:val="009E798F"/>
    <w:rsid w:val="009E7A71"/>
    <w:rsid w:val="009F04AC"/>
    <w:rsid w:val="009F16E6"/>
    <w:rsid w:val="009F1DEB"/>
    <w:rsid w:val="009F291E"/>
    <w:rsid w:val="009F2AAD"/>
    <w:rsid w:val="009F3839"/>
    <w:rsid w:val="009F40DF"/>
    <w:rsid w:val="009F41C5"/>
    <w:rsid w:val="009F430C"/>
    <w:rsid w:val="009F7210"/>
    <w:rsid w:val="009F7D1D"/>
    <w:rsid w:val="00A02144"/>
    <w:rsid w:val="00A0419B"/>
    <w:rsid w:val="00A04E57"/>
    <w:rsid w:val="00A06848"/>
    <w:rsid w:val="00A06B17"/>
    <w:rsid w:val="00A07210"/>
    <w:rsid w:val="00A07FF1"/>
    <w:rsid w:val="00A103BC"/>
    <w:rsid w:val="00A108A2"/>
    <w:rsid w:val="00A1097A"/>
    <w:rsid w:val="00A10E82"/>
    <w:rsid w:val="00A11498"/>
    <w:rsid w:val="00A11833"/>
    <w:rsid w:val="00A11C55"/>
    <w:rsid w:val="00A125F7"/>
    <w:rsid w:val="00A12C8B"/>
    <w:rsid w:val="00A13657"/>
    <w:rsid w:val="00A1389B"/>
    <w:rsid w:val="00A13B94"/>
    <w:rsid w:val="00A13F18"/>
    <w:rsid w:val="00A14370"/>
    <w:rsid w:val="00A165D9"/>
    <w:rsid w:val="00A16B1F"/>
    <w:rsid w:val="00A16C32"/>
    <w:rsid w:val="00A170E7"/>
    <w:rsid w:val="00A205DB"/>
    <w:rsid w:val="00A20F7E"/>
    <w:rsid w:val="00A20F93"/>
    <w:rsid w:val="00A2115C"/>
    <w:rsid w:val="00A217BD"/>
    <w:rsid w:val="00A234FF"/>
    <w:rsid w:val="00A236F1"/>
    <w:rsid w:val="00A241B3"/>
    <w:rsid w:val="00A249A1"/>
    <w:rsid w:val="00A24D94"/>
    <w:rsid w:val="00A24E85"/>
    <w:rsid w:val="00A26269"/>
    <w:rsid w:val="00A262BE"/>
    <w:rsid w:val="00A262CB"/>
    <w:rsid w:val="00A26BD4"/>
    <w:rsid w:val="00A26DA2"/>
    <w:rsid w:val="00A30488"/>
    <w:rsid w:val="00A30710"/>
    <w:rsid w:val="00A328B6"/>
    <w:rsid w:val="00A32B2D"/>
    <w:rsid w:val="00A33858"/>
    <w:rsid w:val="00A33AE5"/>
    <w:rsid w:val="00A33BD2"/>
    <w:rsid w:val="00A34085"/>
    <w:rsid w:val="00A34934"/>
    <w:rsid w:val="00A34DD5"/>
    <w:rsid w:val="00A367FB"/>
    <w:rsid w:val="00A36814"/>
    <w:rsid w:val="00A37678"/>
    <w:rsid w:val="00A378BD"/>
    <w:rsid w:val="00A37B42"/>
    <w:rsid w:val="00A37C77"/>
    <w:rsid w:val="00A41D1D"/>
    <w:rsid w:val="00A41EF3"/>
    <w:rsid w:val="00A4299C"/>
    <w:rsid w:val="00A429EE"/>
    <w:rsid w:val="00A42AF5"/>
    <w:rsid w:val="00A43A19"/>
    <w:rsid w:val="00A442EE"/>
    <w:rsid w:val="00A44BBD"/>
    <w:rsid w:val="00A4506B"/>
    <w:rsid w:val="00A45380"/>
    <w:rsid w:val="00A460A9"/>
    <w:rsid w:val="00A46130"/>
    <w:rsid w:val="00A461D0"/>
    <w:rsid w:val="00A46ED7"/>
    <w:rsid w:val="00A4789E"/>
    <w:rsid w:val="00A506E2"/>
    <w:rsid w:val="00A50765"/>
    <w:rsid w:val="00A5126C"/>
    <w:rsid w:val="00A51478"/>
    <w:rsid w:val="00A519FC"/>
    <w:rsid w:val="00A51CE6"/>
    <w:rsid w:val="00A5221A"/>
    <w:rsid w:val="00A525D1"/>
    <w:rsid w:val="00A52F78"/>
    <w:rsid w:val="00A53752"/>
    <w:rsid w:val="00A547BD"/>
    <w:rsid w:val="00A5480A"/>
    <w:rsid w:val="00A55599"/>
    <w:rsid w:val="00A55A0A"/>
    <w:rsid w:val="00A55F79"/>
    <w:rsid w:val="00A56E70"/>
    <w:rsid w:val="00A5743E"/>
    <w:rsid w:val="00A5743F"/>
    <w:rsid w:val="00A57534"/>
    <w:rsid w:val="00A57A25"/>
    <w:rsid w:val="00A57C26"/>
    <w:rsid w:val="00A600C7"/>
    <w:rsid w:val="00A61DF7"/>
    <w:rsid w:val="00A61ED7"/>
    <w:rsid w:val="00A61FEC"/>
    <w:rsid w:val="00A637E0"/>
    <w:rsid w:val="00A63987"/>
    <w:rsid w:val="00A651AD"/>
    <w:rsid w:val="00A65F5E"/>
    <w:rsid w:val="00A667F7"/>
    <w:rsid w:val="00A67640"/>
    <w:rsid w:val="00A708D9"/>
    <w:rsid w:val="00A716C3"/>
    <w:rsid w:val="00A72504"/>
    <w:rsid w:val="00A72CCA"/>
    <w:rsid w:val="00A7348C"/>
    <w:rsid w:val="00A73B08"/>
    <w:rsid w:val="00A743E9"/>
    <w:rsid w:val="00A75934"/>
    <w:rsid w:val="00A75CD3"/>
    <w:rsid w:val="00A7687A"/>
    <w:rsid w:val="00A77CD7"/>
    <w:rsid w:val="00A77F6D"/>
    <w:rsid w:val="00A83353"/>
    <w:rsid w:val="00A83AFB"/>
    <w:rsid w:val="00A83C8E"/>
    <w:rsid w:val="00A8549E"/>
    <w:rsid w:val="00A85DB1"/>
    <w:rsid w:val="00A85EC3"/>
    <w:rsid w:val="00A91CE2"/>
    <w:rsid w:val="00A91DF7"/>
    <w:rsid w:val="00A920AB"/>
    <w:rsid w:val="00A93158"/>
    <w:rsid w:val="00A93A08"/>
    <w:rsid w:val="00A93FD9"/>
    <w:rsid w:val="00A94365"/>
    <w:rsid w:val="00A94A8B"/>
    <w:rsid w:val="00A94BEE"/>
    <w:rsid w:val="00A957BB"/>
    <w:rsid w:val="00A9635B"/>
    <w:rsid w:val="00A96494"/>
    <w:rsid w:val="00A966F8"/>
    <w:rsid w:val="00A97492"/>
    <w:rsid w:val="00AA070A"/>
    <w:rsid w:val="00AA12BA"/>
    <w:rsid w:val="00AA1A9B"/>
    <w:rsid w:val="00AA251A"/>
    <w:rsid w:val="00AA2634"/>
    <w:rsid w:val="00AA2F18"/>
    <w:rsid w:val="00AA2F70"/>
    <w:rsid w:val="00AA3072"/>
    <w:rsid w:val="00AA69DE"/>
    <w:rsid w:val="00AA6DBF"/>
    <w:rsid w:val="00AA72C1"/>
    <w:rsid w:val="00AA74EF"/>
    <w:rsid w:val="00AA75F8"/>
    <w:rsid w:val="00AA784F"/>
    <w:rsid w:val="00AB0BB1"/>
    <w:rsid w:val="00AB0FBA"/>
    <w:rsid w:val="00AB1CA8"/>
    <w:rsid w:val="00AB25D1"/>
    <w:rsid w:val="00AB25EF"/>
    <w:rsid w:val="00AB2EA5"/>
    <w:rsid w:val="00AB383E"/>
    <w:rsid w:val="00AB42FC"/>
    <w:rsid w:val="00AB4733"/>
    <w:rsid w:val="00AB55E5"/>
    <w:rsid w:val="00AB5746"/>
    <w:rsid w:val="00AB5D9A"/>
    <w:rsid w:val="00AB604C"/>
    <w:rsid w:val="00AB69AE"/>
    <w:rsid w:val="00AB708A"/>
    <w:rsid w:val="00AB7119"/>
    <w:rsid w:val="00AB797F"/>
    <w:rsid w:val="00AB7AB9"/>
    <w:rsid w:val="00AB7C54"/>
    <w:rsid w:val="00AC0955"/>
    <w:rsid w:val="00AC09F0"/>
    <w:rsid w:val="00AC1016"/>
    <w:rsid w:val="00AC1019"/>
    <w:rsid w:val="00AC1A04"/>
    <w:rsid w:val="00AC1BBF"/>
    <w:rsid w:val="00AC1C05"/>
    <w:rsid w:val="00AC39B0"/>
    <w:rsid w:val="00AC3E60"/>
    <w:rsid w:val="00AC5197"/>
    <w:rsid w:val="00AC51E7"/>
    <w:rsid w:val="00AC6300"/>
    <w:rsid w:val="00AC689A"/>
    <w:rsid w:val="00AC7140"/>
    <w:rsid w:val="00AD0905"/>
    <w:rsid w:val="00AD090E"/>
    <w:rsid w:val="00AD1B0E"/>
    <w:rsid w:val="00AD266F"/>
    <w:rsid w:val="00AD26BF"/>
    <w:rsid w:val="00AD31D7"/>
    <w:rsid w:val="00AD3FB3"/>
    <w:rsid w:val="00AD4A59"/>
    <w:rsid w:val="00AD4DBE"/>
    <w:rsid w:val="00AD77C4"/>
    <w:rsid w:val="00AD7873"/>
    <w:rsid w:val="00AD7D39"/>
    <w:rsid w:val="00AE051F"/>
    <w:rsid w:val="00AE1A7F"/>
    <w:rsid w:val="00AE275E"/>
    <w:rsid w:val="00AE28FD"/>
    <w:rsid w:val="00AE3798"/>
    <w:rsid w:val="00AE4031"/>
    <w:rsid w:val="00AE4893"/>
    <w:rsid w:val="00AE4FB8"/>
    <w:rsid w:val="00AE558F"/>
    <w:rsid w:val="00AE5681"/>
    <w:rsid w:val="00AE5DDB"/>
    <w:rsid w:val="00AE5E64"/>
    <w:rsid w:val="00AE5FF7"/>
    <w:rsid w:val="00AE6337"/>
    <w:rsid w:val="00AE6BDF"/>
    <w:rsid w:val="00AE6F71"/>
    <w:rsid w:val="00AE7872"/>
    <w:rsid w:val="00AF135B"/>
    <w:rsid w:val="00AF1896"/>
    <w:rsid w:val="00AF235D"/>
    <w:rsid w:val="00AF28A0"/>
    <w:rsid w:val="00AF3AAF"/>
    <w:rsid w:val="00AF3B6D"/>
    <w:rsid w:val="00AF3C13"/>
    <w:rsid w:val="00AF3F42"/>
    <w:rsid w:val="00AF5019"/>
    <w:rsid w:val="00AF59E4"/>
    <w:rsid w:val="00AF5B0A"/>
    <w:rsid w:val="00AF6E92"/>
    <w:rsid w:val="00AF7F58"/>
    <w:rsid w:val="00B000A7"/>
    <w:rsid w:val="00B01231"/>
    <w:rsid w:val="00B0127F"/>
    <w:rsid w:val="00B01A59"/>
    <w:rsid w:val="00B01B01"/>
    <w:rsid w:val="00B01DE7"/>
    <w:rsid w:val="00B021DA"/>
    <w:rsid w:val="00B02F7C"/>
    <w:rsid w:val="00B038FE"/>
    <w:rsid w:val="00B044A6"/>
    <w:rsid w:val="00B064ED"/>
    <w:rsid w:val="00B069AF"/>
    <w:rsid w:val="00B069C9"/>
    <w:rsid w:val="00B073DA"/>
    <w:rsid w:val="00B076A0"/>
    <w:rsid w:val="00B07894"/>
    <w:rsid w:val="00B10606"/>
    <w:rsid w:val="00B10756"/>
    <w:rsid w:val="00B115CE"/>
    <w:rsid w:val="00B129A5"/>
    <w:rsid w:val="00B12D92"/>
    <w:rsid w:val="00B132F1"/>
    <w:rsid w:val="00B13C01"/>
    <w:rsid w:val="00B14168"/>
    <w:rsid w:val="00B14811"/>
    <w:rsid w:val="00B14BBA"/>
    <w:rsid w:val="00B17DF2"/>
    <w:rsid w:val="00B204BC"/>
    <w:rsid w:val="00B205CA"/>
    <w:rsid w:val="00B21042"/>
    <w:rsid w:val="00B21059"/>
    <w:rsid w:val="00B2154B"/>
    <w:rsid w:val="00B2155B"/>
    <w:rsid w:val="00B21A83"/>
    <w:rsid w:val="00B21C42"/>
    <w:rsid w:val="00B225C3"/>
    <w:rsid w:val="00B23BED"/>
    <w:rsid w:val="00B24EE7"/>
    <w:rsid w:val="00B2532D"/>
    <w:rsid w:val="00B265D5"/>
    <w:rsid w:val="00B26637"/>
    <w:rsid w:val="00B26B63"/>
    <w:rsid w:val="00B27C3B"/>
    <w:rsid w:val="00B30450"/>
    <w:rsid w:val="00B312D2"/>
    <w:rsid w:val="00B31626"/>
    <w:rsid w:val="00B322A7"/>
    <w:rsid w:val="00B33EDC"/>
    <w:rsid w:val="00B34107"/>
    <w:rsid w:val="00B34E08"/>
    <w:rsid w:val="00B35961"/>
    <w:rsid w:val="00B359CE"/>
    <w:rsid w:val="00B35A52"/>
    <w:rsid w:val="00B35AC0"/>
    <w:rsid w:val="00B361E9"/>
    <w:rsid w:val="00B36BD6"/>
    <w:rsid w:val="00B36E4D"/>
    <w:rsid w:val="00B413CE"/>
    <w:rsid w:val="00B431D2"/>
    <w:rsid w:val="00B43F75"/>
    <w:rsid w:val="00B447D2"/>
    <w:rsid w:val="00B449A7"/>
    <w:rsid w:val="00B44C8B"/>
    <w:rsid w:val="00B45A19"/>
    <w:rsid w:val="00B45D75"/>
    <w:rsid w:val="00B45D7C"/>
    <w:rsid w:val="00B46116"/>
    <w:rsid w:val="00B464C6"/>
    <w:rsid w:val="00B4759B"/>
    <w:rsid w:val="00B50BF3"/>
    <w:rsid w:val="00B524AA"/>
    <w:rsid w:val="00B52F72"/>
    <w:rsid w:val="00B5381A"/>
    <w:rsid w:val="00B53911"/>
    <w:rsid w:val="00B54236"/>
    <w:rsid w:val="00B544EF"/>
    <w:rsid w:val="00B545E7"/>
    <w:rsid w:val="00B56449"/>
    <w:rsid w:val="00B56469"/>
    <w:rsid w:val="00B565F9"/>
    <w:rsid w:val="00B5662E"/>
    <w:rsid w:val="00B57B32"/>
    <w:rsid w:val="00B60621"/>
    <w:rsid w:val="00B60649"/>
    <w:rsid w:val="00B61DFC"/>
    <w:rsid w:val="00B61F21"/>
    <w:rsid w:val="00B62EA7"/>
    <w:rsid w:val="00B63897"/>
    <w:rsid w:val="00B64611"/>
    <w:rsid w:val="00B647EB"/>
    <w:rsid w:val="00B65AA0"/>
    <w:rsid w:val="00B65AF9"/>
    <w:rsid w:val="00B65B5D"/>
    <w:rsid w:val="00B6636E"/>
    <w:rsid w:val="00B664BB"/>
    <w:rsid w:val="00B66C41"/>
    <w:rsid w:val="00B67D5A"/>
    <w:rsid w:val="00B67E84"/>
    <w:rsid w:val="00B7123B"/>
    <w:rsid w:val="00B71BF9"/>
    <w:rsid w:val="00B720E1"/>
    <w:rsid w:val="00B72A60"/>
    <w:rsid w:val="00B739E4"/>
    <w:rsid w:val="00B73C6A"/>
    <w:rsid w:val="00B74646"/>
    <w:rsid w:val="00B74CC7"/>
    <w:rsid w:val="00B74E80"/>
    <w:rsid w:val="00B75D3D"/>
    <w:rsid w:val="00B767A5"/>
    <w:rsid w:val="00B767C4"/>
    <w:rsid w:val="00B76AEF"/>
    <w:rsid w:val="00B76CEE"/>
    <w:rsid w:val="00B77DEA"/>
    <w:rsid w:val="00B77F7B"/>
    <w:rsid w:val="00B802FC"/>
    <w:rsid w:val="00B80D66"/>
    <w:rsid w:val="00B810CD"/>
    <w:rsid w:val="00B81880"/>
    <w:rsid w:val="00B82C81"/>
    <w:rsid w:val="00B83FB3"/>
    <w:rsid w:val="00B8415E"/>
    <w:rsid w:val="00B852D1"/>
    <w:rsid w:val="00B863BC"/>
    <w:rsid w:val="00B86476"/>
    <w:rsid w:val="00B8677A"/>
    <w:rsid w:val="00B90171"/>
    <w:rsid w:val="00B90633"/>
    <w:rsid w:val="00B90A9C"/>
    <w:rsid w:val="00B9128B"/>
    <w:rsid w:val="00B926DA"/>
    <w:rsid w:val="00B92792"/>
    <w:rsid w:val="00B932E4"/>
    <w:rsid w:val="00B93D7B"/>
    <w:rsid w:val="00B94B9D"/>
    <w:rsid w:val="00B962CE"/>
    <w:rsid w:val="00B96E4F"/>
    <w:rsid w:val="00B97266"/>
    <w:rsid w:val="00BA0310"/>
    <w:rsid w:val="00BA0A97"/>
    <w:rsid w:val="00BA2DB7"/>
    <w:rsid w:val="00BA311E"/>
    <w:rsid w:val="00BA3255"/>
    <w:rsid w:val="00BA6BEE"/>
    <w:rsid w:val="00BA714F"/>
    <w:rsid w:val="00BA7161"/>
    <w:rsid w:val="00BA7C35"/>
    <w:rsid w:val="00BB0033"/>
    <w:rsid w:val="00BB0CD2"/>
    <w:rsid w:val="00BB0E16"/>
    <w:rsid w:val="00BB23B0"/>
    <w:rsid w:val="00BB2431"/>
    <w:rsid w:val="00BB3AD2"/>
    <w:rsid w:val="00BB42AD"/>
    <w:rsid w:val="00BB48A5"/>
    <w:rsid w:val="00BB50DA"/>
    <w:rsid w:val="00BB65E9"/>
    <w:rsid w:val="00BB66DC"/>
    <w:rsid w:val="00BB6982"/>
    <w:rsid w:val="00BB7AB4"/>
    <w:rsid w:val="00BB7DF7"/>
    <w:rsid w:val="00BC31BF"/>
    <w:rsid w:val="00BC38D7"/>
    <w:rsid w:val="00BC3B41"/>
    <w:rsid w:val="00BC3CFA"/>
    <w:rsid w:val="00BC4065"/>
    <w:rsid w:val="00BC54BD"/>
    <w:rsid w:val="00BC65E9"/>
    <w:rsid w:val="00BC7566"/>
    <w:rsid w:val="00BC76D7"/>
    <w:rsid w:val="00BC7C3D"/>
    <w:rsid w:val="00BC7DC5"/>
    <w:rsid w:val="00BD08D3"/>
    <w:rsid w:val="00BD1C77"/>
    <w:rsid w:val="00BD2469"/>
    <w:rsid w:val="00BD4A15"/>
    <w:rsid w:val="00BD4FAA"/>
    <w:rsid w:val="00BD51E4"/>
    <w:rsid w:val="00BD53BB"/>
    <w:rsid w:val="00BD5549"/>
    <w:rsid w:val="00BD5AA0"/>
    <w:rsid w:val="00BD5D30"/>
    <w:rsid w:val="00BD611B"/>
    <w:rsid w:val="00BD61AE"/>
    <w:rsid w:val="00BD6BC5"/>
    <w:rsid w:val="00BD7729"/>
    <w:rsid w:val="00BE0110"/>
    <w:rsid w:val="00BE0864"/>
    <w:rsid w:val="00BE0C11"/>
    <w:rsid w:val="00BE1A73"/>
    <w:rsid w:val="00BE22B4"/>
    <w:rsid w:val="00BE3A9A"/>
    <w:rsid w:val="00BE416B"/>
    <w:rsid w:val="00BE472C"/>
    <w:rsid w:val="00BE588C"/>
    <w:rsid w:val="00BE5FF5"/>
    <w:rsid w:val="00BE661D"/>
    <w:rsid w:val="00BE6E31"/>
    <w:rsid w:val="00BE7E8E"/>
    <w:rsid w:val="00BF008C"/>
    <w:rsid w:val="00BF02A6"/>
    <w:rsid w:val="00BF03B9"/>
    <w:rsid w:val="00BF26FA"/>
    <w:rsid w:val="00BF4A3C"/>
    <w:rsid w:val="00BF4CFA"/>
    <w:rsid w:val="00BF50B1"/>
    <w:rsid w:val="00BF544B"/>
    <w:rsid w:val="00BF58A6"/>
    <w:rsid w:val="00BF639C"/>
    <w:rsid w:val="00BF7342"/>
    <w:rsid w:val="00BF744C"/>
    <w:rsid w:val="00BF7A8D"/>
    <w:rsid w:val="00BF7DC6"/>
    <w:rsid w:val="00C002E2"/>
    <w:rsid w:val="00C0086A"/>
    <w:rsid w:val="00C0100E"/>
    <w:rsid w:val="00C041D2"/>
    <w:rsid w:val="00C05705"/>
    <w:rsid w:val="00C05DFE"/>
    <w:rsid w:val="00C06610"/>
    <w:rsid w:val="00C0672D"/>
    <w:rsid w:val="00C07227"/>
    <w:rsid w:val="00C07B95"/>
    <w:rsid w:val="00C102A8"/>
    <w:rsid w:val="00C103D5"/>
    <w:rsid w:val="00C10E2B"/>
    <w:rsid w:val="00C113ED"/>
    <w:rsid w:val="00C116DB"/>
    <w:rsid w:val="00C11F71"/>
    <w:rsid w:val="00C12484"/>
    <w:rsid w:val="00C12E91"/>
    <w:rsid w:val="00C1347A"/>
    <w:rsid w:val="00C13551"/>
    <w:rsid w:val="00C140AD"/>
    <w:rsid w:val="00C14E31"/>
    <w:rsid w:val="00C154C7"/>
    <w:rsid w:val="00C1559B"/>
    <w:rsid w:val="00C1571A"/>
    <w:rsid w:val="00C16698"/>
    <w:rsid w:val="00C16CB2"/>
    <w:rsid w:val="00C16D03"/>
    <w:rsid w:val="00C17654"/>
    <w:rsid w:val="00C204CE"/>
    <w:rsid w:val="00C21D4C"/>
    <w:rsid w:val="00C22738"/>
    <w:rsid w:val="00C232D9"/>
    <w:rsid w:val="00C23346"/>
    <w:rsid w:val="00C2356E"/>
    <w:rsid w:val="00C23FFC"/>
    <w:rsid w:val="00C24E23"/>
    <w:rsid w:val="00C24EBD"/>
    <w:rsid w:val="00C251B9"/>
    <w:rsid w:val="00C251E0"/>
    <w:rsid w:val="00C2550C"/>
    <w:rsid w:val="00C258E6"/>
    <w:rsid w:val="00C26828"/>
    <w:rsid w:val="00C26CE1"/>
    <w:rsid w:val="00C30275"/>
    <w:rsid w:val="00C31B4A"/>
    <w:rsid w:val="00C31F2D"/>
    <w:rsid w:val="00C33AE6"/>
    <w:rsid w:val="00C33B46"/>
    <w:rsid w:val="00C33EDE"/>
    <w:rsid w:val="00C34041"/>
    <w:rsid w:val="00C35945"/>
    <w:rsid w:val="00C35FB3"/>
    <w:rsid w:val="00C367B9"/>
    <w:rsid w:val="00C3685C"/>
    <w:rsid w:val="00C369C9"/>
    <w:rsid w:val="00C37149"/>
    <w:rsid w:val="00C379A6"/>
    <w:rsid w:val="00C400FB"/>
    <w:rsid w:val="00C415A1"/>
    <w:rsid w:val="00C41C88"/>
    <w:rsid w:val="00C4245A"/>
    <w:rsid w:val="00C42EE6"/>
    <w:rsid w:val="00C43086"/>
    <w:rsid w:val="00C43A67"/>
    <w:rsid w:val="00C440C9"/>
    <w:rsid w:val="00C441FD"/>
    <w:rsid w:val="00C464DA"/>
    <w:rsid w:val="00C46B59"/>
    <w:rsid w:val="00C46E01"/>
    <w:rsid w:val="00C46F9F"/>
    <w:rsid w:val="00C47AE0"/>
    <w:rsid w:val="00C47C46"/>
    <w:rsid w:val="00C50634"/>
    <w:rsid w:val="00C50D27"/>
    <w:rsid w:val="00C51000"/>
    <w:rsid w:val="00C51F85"/>
    <w:rsid w:val="00C533A5"/>
    <w:rsid w:val="00C5472D"/>
    <w:rsid w:val="00C548EC"/>
    <w:rsid w:val="00C54923"/>
    <w:rsid w:val="00C55388"/>
    <w:rsid w:val="00C56E61"/>
    <w:rsid w:val="00C57AC5"/>
    <w:rsid w:val="00C57F16"/>
    <w:rsid w:val="00C6181B"/>
    <w:rsid w:val="00C6308D"/>
    <w:rsid w:val="00C63C8C"/>
    <w:rsid w:val="00C6409F"/>
    <w:rsid w:val="00C641B7"/>
    <w:rsid w:val="00C64B42"/>
    <w:rsid w:val="00C654F5"/>
    <w:rsid w:val="00C66A2C"/>
    <w:rsid w:val="00C66D1B"/>
    <w:rsid w:val="00C66E37"/>
    <w:rsid w:val="00C6702F"/>
    <w:rsid w:val="00C6728F"/>
    <w:rsid w:val="00C67DE1"/>
    <w:rsid w:val="00C67EA7"/>
    <w:rsid w:val="00C70959"/>
    <w:rsid w:val="00C72238"/>
    <w:rsid w:val="00C72777"/>
    <w:rsid w:val="00C72D90"/>
    <w:rsid w:val="00C73060"/>
    <w:rsid w:val="00C73F00"/>
    <w:rsid w:val="00C74D77"/>
    <w:rsid w:val="00C75934"/>
    <w:rsid w:val="00C759FE"/>
    <w:rsid w:val="00C75CBF"/>
    <w:rsid w:val="00C76BA4"/>
    <w:rsid w:val="00C771E7"/>
    <w:rsid w:val="00C775A2"/>
    <w:rsid w:val="00C77A71"/>
    <w:rsid w:val="00C77C60"/>
    <w:rsid w:val="00C77C7A"/>
    <w:rsid w:val="00C80452"/>
    <w:rsid w:val="00C806DE"/>
    <w:rsid w:val="00C81E0D"/>
    <w:rsid w:val="00C81E65"/>
    <w:rsid w:val="00C81F85"/>
    <w:rsid w:val="00C8282C"/>
    <w:rsid w:val="00C82C2B"/>
    <w:rsid w:val="00C86595"/>
    <w:rsid w:val="00C8755D"/>
    <w:rsid w:val="00C8778C"/>
    <w:rsid w:val="00C90241"/>
    <w:rsid w:val="00C90F4E"/>
    <w:rsid w:val="00C91166"/>
    <w:rsid w:val="00C9134A"/>
    <w:rsid w:val="00C91673"/>
    <w:rsid w:val="00C9233E"/>
    <w:rsid w:val="00C92A88"/>
    <w:rsid w:val="00C92D40"/>
    <w:rsid w:val="00C93FDA"/>
    <w:rsid w:val="00C94ADB"/>
    <w:rsid w:val="00C95260"/>
    <w:rsid w:val="00C9635A"/>
    <w:rsid w:val="00C96C03"/>
    <w:rsid w:val="00CA031C"/>
    <w:rsid w:val="00CA0A03"/>
    <w:rsid w:val="00CA141C"/>
    <w:rsid w:val="00CA162D"/>
    <w:rsid w:val="00CA2188"/>
    <w:rsid w:val="00CA3F4B"/>
    <w:rsid w:val="00CA4ACB"/>
    <w:rsid w:val="00CA5324"/>
    <w:rsid w:val="00CA5563"/>
    <w:rsid w:val="00CA597B"/>
    <w:rsid w:val="00CA61A4"/>
    <w:rsid w:val="00CA784F"/>
    <w:rsid w:val="00CB0230"/>
    <w:rsid w:val="00CB0B86"/>
    <w:rsid w:val="00CB0DAD"/>
    <w:rsid w:val="00CB1925"/>
    <w:rsid w:val="00CB1C93"/>
    <w:rsid w:val="00CB1CCA"/>
    <w:rsid w:val="00CB1FE1"/>
    <w:rsid w:val="00CB36D7"/>
    <w:rsid w:val="00CB3E3C"/>
    <w:rsid w:val="00CB41A4"/>
    <w:rsid w:val="00CB4380"/>
    <w:rsid w:val="00CB511E"/>
    <w:rsid w:val="00CB5264"/>
    <w:rsid w:val="00CB53F9"/>
    <w:rsid w:val="00CB5401"/>
    <w:rsid w:val="00CB5669"/>
    <w:rsid w:val="00CB7CE0"/>
    <w:rsid w:val="00CB7F7A"/>
    <w:rsid w:val="00CB7FE5"/>
    <w:rsid w:val="00CC1A30"/>
    <w:rsid w:val="00CC3BB5"/>
    <w:rsid w:val="00CC3E65"/>
    <w:rsid w:val="00CC430A"/>
    <w:rsid w:val="00CC524D"/>
    <w:rsid w:val="00CC5D88"/>
    <w:rsid w:val="00CC6B04"/>
    <w:rsid w:val="00CC7C17"/>
    <w:rsid w:val="00CD0B9F"/>
    <w:rsid w:val="00CD13E9"/>
    <w:rsid w:val="00CD1E12"/>
    <w:rsid w:val="00CD203A"/>
    <w:rsid w:val="00CD221A"/>
    <w:rsid w:val="00CD26BB"/>
    <w:rsid w:val="00CD290B"/>
    <w:rsid w:val="00CD31D3"/>
    <w:rsid w:val="00CD3529"/>
    <w:rsid w:val="00CD3ED9"/>
    <w:rsid w:val="00CD408E"/>
    <w:rsid w:val="00CD41C6"/>
    <w:rsid w:val="00CD4427"/>
    <w:rsid w:val="00CD4A40"/>
    <w:rsid w:val="00CD4B63"/>
    <w:rsid w:val="00CD53E8"/>
    <w:rsid w:val="00CD5549"/>
    <w:rsid w:val="00CD563B"/>
    <w:rsid w:val="00CD6957"/>
    <w:rsid w:val="00CD6EB5"/>
    <w:rsid w:val="00CD74D9"/>
    <w:rsid w:val="00CE10CD"/>
    <w:rsid w:val="00CE1533"/>
    <w:rsid w:val="00CE1C9D"/>
    <w:rsid w:val="00CE23F5"/>
    <w:rsid w:val="00CE3B2B"/>
    <w:rsid w:val="00CE59E5"/>
    <w:rsid w:val="00CE5D16"/>
    <w:rsid w:val="00CE6775"/>
    <w:rsid w:val="00CE75E1"/>
    <w:rsid w:val="00CE7B52"/>
    <w:rsid w:val="00CF0142"/>
    <w:rsid w:val="00CF1EFF"/>
    <w:rsid w:val="00CF2565"/>
    <w:rsid w:val="00CF26EF"/>
    <w:rsid w:val="00CF3A85"/>
    <w:rsid w:val="00CF3B1E"/>
    <w:rsid w:val="00CF4737"/>
    <w:rsid w:val="00CF496E"/>
    <w:rsid w:val="00CF5392"/>
    <w:rsid w:val="00CF78CF"/>
    <w:rsid w:val="00D002B7"/>
    <w:rsid w:val="00D0064B"/>
    <w:rsid w:val="00D00CC6"/>
    <w:rsid w:val="00D01520"/>
    <w:rsid w:val="00D0330F"/>
    <w:rsid w:val="00D042F5"/>
    <w:rsid w:val="00D04330"/>
    <w:rsid w:val="00D04824"/>
    <w:rsid w:val="00D049E6"/>
    <w:rsid w:val="00D05328"/>
    <w:rsid w:val="00D05467"/>
    <w:rsid w:val="00D07868"/>
    <w:rsid w:val="00D07CEA"/>
    <w:rsid w:val="00D1041B"/>
    <w:rsid w:val="00D1133F"/>
    <w:rsid w:val="00D14FDB"/>
    <w:rsid w:val="00D15756"/>
    <w:rsid w:val="00D160C6"/>
    <w:rsid w:val="00D16E62"/>
    <w:rsid w:val="00D1744C"/>
    <w:rsid w:val="00D20600"/>
    <w:rsid w:val="00D207C8"/>
    <w:rsid w:val="00D20D53"/>
    <w:rsid w:val="00D2114C"/>
    <w:rsid w:val="00D213EF"/>
    <w:rsid w:val="00D21D2B"/>
    <w:rsid w:val="00D21EC5"/>
    <w:rsid w:val="00D22BCB"/>
    <w:rsid w:val="00D23691"/>
    <w:rsid w:val="00D237C4"/>
    <w:rsid w:val="00D24029"/>
    <w:rsid w:val="00D248F0"/>
    <w:rsid w:val="00D25E9C"/>
    <w:rsid w:val="00D26B3F"/>
    <w:rsid w:val="00D26CB3"/>
    <w:rsid w:val="00D30DCA"/>
    <w:rsid w:val="00D3166B"/>
    <w:rsid w:val="00D319F0"/>
    <w:rsid w:val="00D3249C"/>
    <w:rsid w:val="00D32BA2"/>
    <w:rsid w:val="00D32F72"/>
    <w:rsid w:val="00D3349F"/>
    <w:rsid w:val="00D33C1A"/>
    <w:rsid w:val="00D34956"/>
    <w:rsid w:val="00D36F6F"/>
    <w:rsid w:val="00D40888"/>
    <w:rsid w:val="00D408AE"/>
    <w:rsid w:val="00D40A50"/>
    <w:rsid w:val="00D40C94"/>
    <w:rsid w:val="00D40D86"/>
    <w:rsid w:val="00D41488"/>
    <w:rsid w:val="00D41D52"/>
    <w:rsid w:val="00D4248F"/>
    <w:rsid w:val="00D4254B"/>
    <w:rsid w:val="00D44228"/>
    <w:rsid w:val="00D45DAD"/>
    <w:rsid w:val="00D45FA0"/>
    <w:rsid w:val="00D462B0"/>
    <w:rsid w:val="00D469DC"/>
    <w:rsid w:val="00D46E96"/>
    <w:rsid w:val="00D46F40"/>
    <w:rsid w:val="00D479AA"/>
    <w:rsid w:val="00D50716"/>
    <w:rsid w:val="00D509D4"/>
    <w:rsid w:val="00D50B34"/>
    <w:rsid w:val="00D54EFE"/>
    <w:rsid w:val="00D552B5"/>
    <w:rsid w:val="00D5798B"/>
    <w:rsid w:val="00D57FD2"/>
    <w:rsid w:val="00D60008"/>
    <w:rsid w:val="00D6074D"/>
    <w:rsid w:val="00D6099C"/>
    <w:rsid w:val="00D60DCC"/>
    <w:rsid w:val="00D62864"/>
    <w:rsid w:val="00D6294F"/>
    <w:rsid w:val="00D6344B"/>
    <w:rsid w:val="00D63B7D"/>
    <w:rsid w:val="00D63D80"/>
    <w:rsid w:val="00D6416D"/>
    <w:rsid w:val="00D6476A"/>
    <w:rsid w:val="00D64845"/>
    <w:rsid w:val="00D64AF6"/>
    <w:rsid w:val="00D65BCF"/>
    <w:rsid w:val="00D66362"/>
    <w:rsid w:val="00D676BC"/>
    <w:rsid w:val="00D67D87"/>
    <w:rsid w:val="00D709C5"/>
    <w:rsid w:val="00D70D45"/>
    <w:rsid w:val="00D71BA2"/>
    <w:rsid w:val="00D71CB8"/>
    <w:rsid w:val="00D72F69"/>
    <w:rsid w:val="00D73832"/>
    <w:rsid w:val="00D7488C"/>
    <w:rsid w:val="00D749E9"/>
    <w:rsid w:val="00D74A7B"/>
    <w:rsid w:val="00D754A1"/>
    <w:rsid w:val="00D75B7A"/>
    <w:rsid w:val="00D76A7A"/>
    <w:rsid w:val="00D7746C"/>
    <w:rsid w:val="00D801C2"/>
    <w:rsid w:val="00D8169E"/>
    <w:rsid w:val="00D81ED6"/>
    <w:rsid w:val="00D820BE"/>
    <w:rsid w:val="00D84150"/>
    <w:rsid w:val="00D8436E"/>
    <w:rsid w:val="00D8442D"/>
    <w:rsid w:val="00D84C04"/>
    <w:rsid w:val="00D85597"/>
    <w:rsid w:val="00D85B0A"/>
    <w:rsid w:val="00D8660E"/>
    <w:rsid w:val="00D86BCB"/>
    <w:rsid w:val="00D874FA"/>
    <w:rsid w:val="00D87A42"/>
    <w:rsid w:val="00D904BD"/>
    <w:rsid w:val="00D90528"/>
    <w:rsid w:val="00D90CBB"/>
    <w:rsid w:val="00D91735"/>
    <w:rsid w:val="00D9183A"/>
    <w:rsid w:val="00D92B57"/>
    <w:rsid w:val="00D93376"/>
    <w:rsid w:val="00D93E0E"/>
    <w:rsid w:val="00D94953"/>
    <w:rsid w:val="00D949C4"/>
    <w:rsid w:val="00D953D0"/>
    <w:rsid w:val="00D9598B"/>
    <w:rsid w:val="00D95AD9"/>
    <w:rsid w:val="00D965AF"/>
    <w:rsid w:val="00D968FB"/>
    <w:rsid w:val="00D97671"/>
    <w:rsid w:val="00D97B10"/>
    <w:rsid w:val="00DA01AE"/>
    <w:rsid w:val="00DA03EB"/>
    <w:rsid w:val="00DA04DE"/>
    <w:rsid w:val="00DA13ED"/>
    <w:rsid w:val="00DA162D"/>
    <w:rsid w:val="00DA16D9"/>
    <w:rsid w:val="00DA186F"/>
    <w:rsid w:val="00DA2088"/>
    <w:rsid w:val="00DA2346"/>
    <w:rsid w:val="00DA269F"/>
    <w:rsid w:val="00DA2BE3"/>
    <w:rsid w:val="00DA2DC0"/>
    <w:rsid w:val="00DA37BD"/>
    <w:rsid w:val="00DA455B"/>
    <w:rsid w:val="00DA4B87"/>
    <w:rsid w:val="00DA5267"/>
    <w:rsid w:val="00DA5D91"/>
    <w:rsid w:val="00DA6282"/>
    <w:rsid w:val="00DA6491"/>
    <w:rsid w:val="00DA6666"/>
    <w:rsid w:val="00DA6DE5"/>
    <w:rsid w:val="00DA76EE"/>
    <w:rsid w:val="00DA7C6B"/>
    <w:rsid w:val="00DB1341"/>
    <w:rsid w:val="00DB1BAE"/>
    <w:rsid w:val="00DB3142"/>
    <w:rsid w:val="00DB3616"/>
    <w:rsid w:val="00DB4FF8"/>
    <w:rsid w:val="00DB5439"/>
    <w:rsid w:val="00DB6874"/>
    <w:rsid w:val="00DB74EF"/>
    <w:rsid w:val="00DB7567"/>
    <w:rsid w:val="00DB7984"/>
    <w:rsid w:val="00DB7C80"/>
    <w:rsid w:val="00DC2E67"/>
    <w:rsid w:val="00DC4546"/>
    <w:rsid w:val="00DC490E"/>
    <w:rsid w:val="00DC503A"/>
    <w:rsid w:val="00DC63E8"/>
    <w:rsid w:val="00DC70EA"/>
    <w:rsid w:val="00DC72CB"/>
    <w:rsid w:val="00DC7FF0"/>
    <w:rsid w:val="00DD018D"/>
    <w:rsid w:val="00DD0F50"/>
    <w:rsid w:val="00DD1364"/>
    <w:rsid w:val="00DD1885"/>
    <w:rsid w:val="00DD1BBF"/>
    <w:rsid w:val="00DD2545"/>
    <w:rsid w:val="00DD3541"/>
    <w:rsid w:val="00DD35B3"/>
    <w:rsid w:val="00DD370B"/>
    <w:rsid w:val="00DD3D40"/>
    <w:rsid w:val="00DD4482"/>
    <w:rsid w:val="00DD55DF"/>
    <w:rsid w:val="00DD562B"/>
    <w:rsid w:val="00DD56F3"/>
    <w:rsid w:val="00DD6988"/>
    <w:rsid w:val="00DD6AE4"/>
    <w:rsid w:val="00DD76F8"/>
    <w:rsid w:val="00DE092B"/>
    <w:rsid w:val="00DE157B"/>
    <w:rsid w:val="00DE30DD"/>
    <w:rsid w:val="00DE4F3A"/>
    <w:rsid w:val="00DE68B6"/>
    <w:rsid w:val="00DE7153"/>
    <w:rsid w:val="00DE74CB"/>
    <w:rsid w:val="00DF020A"/>
    <w:rsid w:val="00DF11E9"/>
    <w:rsid w:val="00DF17AC"/>
    <w:rsid w:val="00DF1A2B"/>
    <w:rsid w:val="00DF3191"/>
    <w:rsid w:val="00DF4152"/>
    <w:rsid w:val="00DF44E5"/>
    <w:rsid w:val="00DF4BBC"/>
    <w:rsid w:val="00DF5580"/>
    <w:rsid w:val="00DF684B"/>
    <w:rsid w:val="00E01476"/>
    <w:rsid w:val="00E021E2"/>
    <w:rsid w:val="00E02603"/>
    <w:rsid w:val="00E027EB"/>
    <w:rsid w:val="00E029A6"/>
    <w:rsid w:val="00E031AD"/>
    <w:rsid w:val="00E0407B"/>
    <w:rsid w:val="00E049C7"/>
    <w:rsid w:val="00E05CFB"/>
    <w:rsid w:val="00E069B1"/>
    <w:rsid w:val="00E07C20"/>
    <w:rsid w:val="00E10E5A"/>
    <w:rsid w:val="00E10EDF"/>
    <w:rsid w:val="00E112C0"/>
    <w:rsid w:val="00E115E7"/>
    <w:rsid w:val="00E11905"/>
    <w:rsid w:val="00E11B69"/>
    <w:rsid w:val="00E12198"/>
    <w:rsid w:val="00E1322E"/>
    <w:rsid w:val="00E1450F"/>
    <w:rsid w:val="00E147AE"/>
    <w:rsid w:val="00E1480F"/>
    <w:rsid w:val="00E149CC"/>
    <w:rsid w:val="00E149D7"/>
    <w:rsid w:val="00E14EF4"/>
    <w:rsid w:val="00E1516C"/>
    <w:rsid w:val="00E15E0D"/>
    <w:rsid w:val="00E15FEC"/>
    <w:rsid w:val="00E16102"/>
    <w:rsid w:val="00E16602"/>
    <w:rsid w:val="00E16639"/>
    <w:rsid w:val="00E16962"/>
    <w:rsid w:val="00E1739E"/>
    <w:rsid w:val="00E1781C"/>
    <w:rsid w:val="00E20BA4"/>
    <w:rsid w:val="00E21EF5"/>
    <w:rsid w:val="00E22486"/>
    <w:rsid w:val="00E22804"/>
    <w:rsid w:val="00E231EE"/>
    <w:rsid w:val="00E24A33"/>
    <w:rsid w:val="00E2594E"/>
    <w:rsid w:val="00E25DD4"/>
    <w:rsid w:val="00E25EB8"/>
    <w:rsid w:val="00E27101"/>
    <w:rsid w:val="00E32367"/>
    <w:rsid w:val="00E32F7F"/>
    <w:rsid w:val="00E33077"/>
    <w:rsid w:val="00E3340D"/>
    <w:rsid w:val="00E33BD9"/>
    <w:rsid w:val="00E33FBC"/>
    <w:rsid w:val="00E34C06"/>
    <w:rsid w:val="00E35194"/>
    <w:rsid w:val="00E36295"/>
    <w:rsid w:val="00E36587"/>
    <w:rsid w:val="00E36E92"/>
    <w:rsid w:val="00E3751F"/>
    <w:rsid w:val="00E37A69"/>
    <w:rsid w:val="00E40D05"/>
    <w:rsid w:val="00E429FD"/>
    <w:rsid w:val="00E4382E"/>
    <w:rsid w:val="00E43A3C"/>
    <w:rsid w:val="00E454FA"/>
    <w:rsid w:val="00E457C2"/>
    <w:rsid w:val="00E45B92"/>
    <w:rsid w:val="00E45F86"/>
    <w:rsid w:val="00E467BB"/>
    <w:rsid w:val="00E46950"/>
    <w:rsid w:val="00E50220"/>
    <w:rsid w:val="00E5095D"/>
    <w:rsid w:val="00E509E7"/>
    <w:rsid w:val="00E51862"/>
    <w:rsid w:val="00E51AB9"/>
    <w:rsid w:val="00E51E6D"/>
    <w:rsid w:val="00E52265"/>
    <w:rsid w:val="00E53617"/>
    <w:rsid w:val="00E555CF"/>
    <w:rsid w:val="00E5594C"/>
    <w:rsid w:val="00E5621B"/>
    <w:rsid w:val="00E56BCE"/>
    <w:rsid w:val="00E56DED"/>
    <w:rsid w:val="00E571DE"/>
    <w:rsid w:val="00E57644"/>
    <w:rsid w:val="00E60585"/>
    <w:rsid w:val="00E613D0"/>
    <w:rsid w:val="00E613D3"/>
    <w:rsid w:val="00E62052"/>
    <w:rsid w:val="00E62903"/>
    <w:rsid w:val="00E62D2C"/>
    <w:rsid w:val="00E632B9"/>
    <w:rsid w:val="00E63A69"/>
    <w:rsid w:val="00E63EA8"/>
    <w:rsid w:val="00E6423A"/>
    <w:rsid w:val="00E64DE3"/>
    <w:rsid w:val="00E6558B"/>
    <w:rsid w:val="00E65FB7"/>
    <w:rsid w:val="00E66FE7"/>
    <w:rsid w:val="00E672A7"/>
    <w:rsid w:val="00E67C79"/>
    <w:rsid w:val="00E7022B"/>
    <w:rsid w:val="00E71344"/>
    <w:rsid w:val="00E71427"/>
    <w:rsid w:val="00E717F6"/>
    <w:rsid w:val="00E7359D"/>
    <w:rsid w:val="00E73784"/>
    <w:rsid w:val="00E73B15"/>
    <w:rsid w:val="00E73D30"/>
    <w:rsid w:val="00E74234"/>
    <w:rsid w:val="00E74253"/>
    <w:rsid w:val="00E75762"/>
    <w:rsid w:val="00E75E63"/>
    <w:rsid w:val="00E76944"/>
    <w:rsid w:val="00E76B6A"/>
    <w:rsid w:val="00E770B0"/>
    <w:rsid w:val="00E77410"/>
    <w:rsid w:val="00E80E62"/>
    <w:rsid w:val="00E82539"/>
    <w:rsid w:val="00E83126"/>
    <w:rsid w:val="00E84549"/>
    <w:rsid w:val="00E8491B"/>
    <w:rsid w:val="00E84D39"/>
    <w:rsid w:val="00E86796"/>
    <w:rsid w:val="00E8691F"/>
    <w:rsid w:val="00E86B45"/>
    <w:rsid w:val="00E86BD3"/>
    <w:rsid w:val="00E872F0"/>
    <w:rsid w:val="00E877BF"/>
    <w:rsid w:val="00E90103"/>
    <w:rsid w:val="00E9108C"/>
    <w:rsid w:val="00E921C7"/>
    <w:rsid w:val="00E9221B"/>
    <w:rsid w:val="00E93054"/>
    <w:rsid w:val="00E9316D"/>
    <w:rsid w:val="00E932D3"/>
    <w:rsid w:val="00E936AA"/>
    <w:rsid w:val="00E93ED3"/>
    <w:rsid w:val="00E9470A"/>
    <w:rsid w:val="00E94F6E"/>
    <w:rsid w:val="00E95DBD"/>
    <w:rsid w:val="00E965BA"/>
    <w:rsid w:val="00E96815"/>
    <w:rsid w:val="00E973FC"/>
    <w:rsid w:val="00EA0045"/>
    <w:rsid w:val="00EA07BC"/>
    <w:rsid w:val="00EA0960"/>
    <w:rsid w:val="00EA0A95"/>
    <w:rsid w:val="00EA138F"/>
    <w:rsid w:val="00EA13FD"/>
    <w:rsid w:val="00EA16B5"/>
    <w:rsid w:val="00EA21AE"/>
    <w:rsid w:val="00EA2339"/>
    <w:rsid w:val="00EA2397"/>
    <w:rsid w:val="00EA23D1"/>
    <w:rsid w:val="00EA252E"/>
    <w:rsid w:val="00EA26F1"/>
    <w:rsid w:val="00EA293D"/>
    <w:rsid w:val="00EA2BC9"/>
    <w:rsid w:val="00EA3118"/>
    <w:rsid w:val="00EA445C"/>
    <w:rsid w:val="00EA5241"/>
    <w:rsid w:val="00EA5852"/>
    <w:rsid w:val="00EA5F65"/>
    <w:rsid w:val="00EA65CF"/>
    <w:rsid w:val="00EA7517"/>
    <w:rsid w:val="00EB0477"/>
    <w:rsid w:val="00EB0C0B"/>
    <w:rsid w:val="00EB1616"/>
    <w:rsid w:val="00EB2F32"/>
    <w:rsid w:val="00EB3A2B"/>
    <w:rsid w:val="00EB44C4"/>
    <w:rsid w:val="00EB49DB"/>
    <w:rsid w:val="00EB537C"/>
    <w:rsid w:val="00EB5577"/>
    <w:rsid w:val="00EB5B64"/>
    <w:rsid w:val="00EB5E9E"/>
    <w:rsid w:val="00EB6284"/>
    <w:rsid w:val="00EB6341"/>
    <w:rsid w:val="00EB6A6A"/>
    <w:rsid w:val="00EC0B70"/>
    <w:rsid w:val="00EC17AD"/>
    <w:rsid w:val="00EC1BAF"/>
    <w:rsid w:val="00EC205C"/>
    <w:rsid w:val="00EC2C33"/>
    <w:rsid w:val="00EC3A5A"/>
    <w:rsid w:val="00EC3F12"/>
    <w:rsid w:val="00EC3F5D"/>
    <w:rsid w:val="00EC52A0"/>
    <w:rsid w:val="00EC55F0"/>
    <w:rsid w:val="00EC6508"/>
    <w:rsid w:val="00EC7149"/>
    <w:rsid w:val="00EC7EF3"/>
    <w:rsid w:val="00ED0DD2"/>
    <w:rsid w:val="00ED14BA"/>
    <w:rsid w:val="00ED1BD5"/>
    <w:rsid w:val="00ED1ED6"/>
    <w:rsid w:val="00ED257C"/>
    <w:rsid w:val="00ED29AF"/>
    <w:rsid w:val="00ED2A09"/>
    <w:rsid w:val="00ED2A84"/>
    <w:rsid w:val="00ED2E78"/>
    <w:rsid w:val="00ED3064"/>
    <w:rsid w:val="00ED3590"/>
    <w:rsid w:val="00ED48AA"/>
    <w:rsid w:val="00ED4C03"/>
    <w:rsid w:val="00ED4DCD"/>
    <w:rsid w:val="00ED54E3"/>
    <w:rsid w:val="00ED5F2A"/>
    <w:rsid w:val="00ED71C4"/>
    <w:rsid w:val="00ED760E"/>
    <w:rsid w:val="00ED7E5B"/>
    <w:rsid w:val="00EE054C"/>
    <w:rsid w:val="00EE0E3B"/>
    <w:rsid w:val="00EE1929"/>
    <w:rsid w:val="00EE1AB9"/>
    <w:rsid w:val="00EE1C2D"/>
    <w:rsid w:val="00EE337D"/>
    <w:rsid w:val="00EE3696"/>
    <w:rsid w:val="00EE3B5F"/>
    <w:rsid w:val="00EE4984"/>
    <w:rsid w:val="00EE5328"/>
    <w:rsid w:val="00EE7553"/>
    <w:rsid w:val="00EE7A5B"/>
    <w:rsid w:val="00EF0300"/>
    <w:rsid w:val="00EF1CEF"/>
    <w:rsid w:val="00EF2F87"/>
    <w:rsid w:val="00EF3371"/>
    <w:rsid w:val="00EF35BD"/>
    <w:rsid w:val="00EF397B"/>
    <w:rsid w:val="00EF3AD4"/>
    <w:rsid w:val="00EF3F57"/>
    <w:rsid w:val="00EF4616"/>
    <w:rsid w:val="00EF487B"/>
    <w:rsid w:val="00EF5D8E"/>
    <w:rsid w:val="00EF5F14"/>
    <w:rsid w:val="00EF6569"/>
    <w:rsid w:val="00EF6D21"/>
    <w:rsid w:val="00EF728F"/>
    <w:rsid w:val="00EF748D"/>
    <w:rsid w:val="00EF7CC0"/>
    <w:rsid w:val="00F00A87"/>
    <w:rsid w:val="00F00B34"/>
    <w:rsid w:val="00F00C20"/>
    <w:rsid w:val="00F0152C"/>
    <w:rsid w:val="00F01574"/>
    <w:rsid w:val="00F01F9E"/>
    <w:rsid w:val="00F02E3D"/>
    <w:rsid w:val="00F040C7"/>
    <w:rsid w:val="00F04D97"/>
    <w:rsid w:val="00F05D84"/>
    <w:rsid w:val="00F067BC"/>
    <w:rsid w:val="00F06B03"/>
    <w:rsid w:val="00F077A8"/>
    <w:rsid w:val="00F07A65"/>
    <w:rsid w:val="00F1032F"/>
    <w:rsid w:val="00F1061D"/>
    <w:rsid w:val="00F11CA6"/>
    <w:rsid w:val="00F12BCD"/>
    <w:rsid w:val="00F12C5A"/>
    <w:rsid w:val="00F131CF"/>
    <w:rsid w:val="00F13356"/>
    <w:rsid w:val="00F13496"/>
    <w:rsid w:val="00F1465B"/>
    <w:rsid w:val="00F14881"/>
    <w:rsid w:val="00F14BFF"/>
    <w:rsid w:val="00F14FD3"/>
    <w:rsid w:val="00F159B1"/>
    <w:rsid w:val="00F161EA"/>
    <w:rsid w:val="00F16291"/>
    <w:rsid w:val="00F17183"/>
    <w:rsid w:val="00F171ED"/>
    <w:rsid w:val="00F17707"/>
    <w:rsid w:val="00F17BFF"/>
    <w:rsid w:val="00F17C36"/>
    <w:rsid w:val="00F20DFC"/>
    <w:rsid w:val="00F21692"/>
    <w:rsid w:val="00F22569"/>
    <w:rsid w:val="00F2291A"/>
    <w:rsid w:val="00F23A91"/>
    <w:rsid w:val="00F24AE9"/>
    <w:rsid w:val="00F252B8"/>
    <w:rsid w:val="00F2577F"/>
    <w:rsid w:val="00F2734A"/>
    <w:rsid w:val="00F275D1"/>
    <w:rsid w:val="00F307C1"/>
    <w:rsid w:val="00F307C5"/>
    <w:rsid w:val="00F31198"/>
    <w:rsid w:val="00F31C44"/>
    <w:rsid w:val="00F3245A"/>
    <w:rsid w:val="00F328D3"/>
    <w:rsid w:val="00F33571"/>
    <w:rsid w:val="00F33D59"/>
    <w:rsid w:val="00F34079"/>
    <w:rsid w:val="00F36BD0"/>
    <w:rsid w:val="00F37705"/>
    <w:rsid w:val="00F3789B"/>
    <w:rsid w:val="00F37DDC"/>
    <w:rsid w:val="00F404B0"/>
    <w:rsid w:val="00F40E35"/>
    <w:rsid w:val="00F4169F"/>
    <w:rsid w:val="00F425D4"/>
    <w:rsid w:val="00F427C8"/>
    <w:rsid w:val="00F42BCC"/>
    <w:rsid w:val="00F42E44"/>
    <w:rsid w:val="00F43264"/>
    <w:rsid w:val="00F43934"/>
    <w:rsid w:val="00F4479E"/>
    <w:rsid w:val="00F45009"/>
    <w:rsid w:val="00F45135"/>
    <w:rsid w:val="00F457EE"/>
    <w:rsid w:val="00F46046"/>
    <w:rsid w:val="00F461CE"/>
    <w:rsid w:val="00F47470"/>
    <w:rsid w:val="00F4789E"/>
    <w:rsid w:val="00F47AEA"/>
    <w:rsid w:val="00F47C7A"/>
    <w:rsid w:val="00F50E62"/>
    <w:rsid w:val="00F515CB"/>
    <w:rsid w:val="00F51EEE"/>
    <w:rsid w:val="00F52062"/>
    <w:rsid w:val="00F536AE"/>
    <w:rsid w:val="00F53BBE"/>
    <w:rsid w:val="00F53BEE"/>
    <w:rsid w:val="00F54035"/>
    <w:rsid w:val="00F54266"/>
    <w:rsid w:val="00F542E1"/>
    <w:rsid w:val="00F54920"/>
    <w:rsid w:val="00F54E99"/>
    <w:rsid w:val="00F556C5"/>
    <w:rsid w:val="00F559D1"/>
    <w:rsid w:val="00F55B0D"/>
    <w:rsid w:val="00F55E98"/>
    <w:rsid w:val="00F56A6B"/>
    <w:rsid w:val="00F56CA7"/>
    <w:rsid w:val="00F5718C"/>
    <w:rsid w:val="00F600B6"/>
    <w:rsid w:val="00F601A3"/>
    <w:rsid w:val="00F61ABC"/>
    <w:rsid w:val="00F6223A"/>
    <w:rsid w:val="00F635D4"/>
    <w:rsid w:val="00F6467F"/>
    <w:rsid w:val="00F65508"/>
    <w:rsid w:val="00F65B99"/>
    <w:rsid w:val="00F667B7"/>
    <w:rsid w:val="00F66D15"/>
    <w:rsid w:val="00F67211"/>
    <w:rsid w:val="00F676CF"/>
    <w:rsid w:val="00F6775D"/>
    <w:rsid w:val="00F70108"/>
    <w:rsid w:val="00F70AF8"/>
    <w:rsid w:val="00F70F4B"/>
    <w:rsid w:val="00F717C3"/>
    <w:rsid w:val="00F71838"/>
    <w:rsid w:val="00F719E4"/>
    <w:rsid w:val="00F719E6"/>
    <w:rsid w:val="00F71E00"/>
    <w:rsid w:val="00F71EB5"/>
    <w:rsid w:val="00F74161"/>
    <w:rsid w:val="00F7437F"/>
    <w:rsid w:val="00F750C8"/>
    <w:rsid w:val="00F75329"/>
    <w:rsid w:val="00F75651"/>
    <w:rsid w:val="00F75D99"/>
    <w:rsid w:val="00F76173"/>
    <w:rsid w:val="00F76613"/>
    <w:rsid w:val="00F807D0"/>
    <w:rsid w:val="00F809DE"/>
    <w:rsid w:val="00F81DD0"/>
    <w:rsid w:val="00F821D5"/>
    <w:rsid w:val="00F83511"/>
    <w:rsid w:val="00F83923"/>
    <w:rsid w:val="00F842B9"/>
    <w:rsid w:val="00F84CF8"/>
    <w:rsid w:val="00F86F7A"/>
    <w:rsid w:val="00F8739A"/>
    <w:rsid w:val="00F9000A"/>
    <w:rsid w:val="00F90243"/>
    <w:rsid w:val="00F902E8"/>
    <w:rsid w:val="00F90FBB"/>
    <w:rsid w:val="00F938FC"/>
    <w:rsid w:val="00F944AD"/>
    <w:rsid w:val="00F95140"/>
    <w:rsid w:val="00F952F2"/>
    <w:rsid w:val="00F9533B"/>
    <w:rsid w:val="00F9585F"/>
    <w:rsid w:val="00F96075"/>
    <w:rsid w:val="00F964A2"/>
    <w:rsid w:val="00FA0069"/>
    <w:rsid w:val="00FA00AF"/>
    <w:rsid w:val="00FA01E8"/>
    <w:rsid w:val="00FA0F3A"/>
    <w:rsid w:val="00FA0FDD"/>
    <w:rsid w:val="00FA1A51"/>
    <w:rsid w:val="00FA221E"/>
    <w:rsid w:val="00FA27C8"/>
    <w:rsid w:val="00FA2DFF"/>
    <w:rsid w:val="00FA39C7"/>
    <w:rsid w:val="00FA3EAC"/>
    <w:rsid w:val="00FA43C3"/>
    <w:rsid w:val="00FA513A"/>
    <w:rsid w:val="00FA5B1A"/>
    <w:rsid w:val="00FA5C98"/>
    <w:rsid w:val="00FA6497"/>
    <w:rsid w:val="00FA6F07"/>
    <w:rsid w:val="00FB01F5"/>
    <w:rsid w:val="00FB096F"/>
    <w:rsid w:val="00FB17ED"/>
    <w:rsid w:val="00FB2837"/>
    <w:rsid w:val="00FB34CE"/>
    <w:rsid w:val="00FB4383"/>
    <w:rsid w:val="00FB4783"/>
    <w:rsid w:val="00FB6170"/>
    <w:rsid w:val="00FB65A5"/>
    <w:rsid w:val="00FB766F"/>
    <w:rsid w:val="00FC04EE"/>
    <w:rsid w:val="00FC0EC0"/>
    <w:rsid w:val="00FC1974"/>
    <w:rsid w:val="00FC2304"/>
    <w:rsid w:val="00FC26EE"/>
    <w:rsid w:val="00FC3D06"/>
    <w:rsid w:val="00FC3DB5"/>
    <w:rsid w:val="00FC4484"/>
    <w:rsid w:val="00FC6B05"/>
    <w:rsid w:val="00FC7167"/>
    <w:rsid w:val="00FC7275"/>
    <w:rsid w:val="00FC7B6C"/>
    <w:rsid w:val="00FC7F3A"/>
    <w:rsid w:val="00FD00F9"/>
    <w:rsid w:val="00FD06B5"/>
    <w:rsid w:val="00FD0EAB"/>
    <w:rsid w:val="00FD1F85"/>
    <w:rsid w:val="00FD28B0"/>
    <w:rsid w:val="00FD39F2"/>
    <w:rsid w:val="00FD3C72"/>
    <w:rsid w:val="00FD44E3"/>
    <w:rsid w:val="00FD5090"/>
    <w:rsid w:val="00FD60ED"/>
    <w:rsid w:val="00FD61F6"/>
    <w:rsid w:val="00FD6C7A"/>
    <w:rsid w:val="00FD7178"/>
    <w:rsid w:val="00FD77C2"/>
    <w:rsid w:val="00FD7B44"/>
    <w:rsid w:val="00FE043E"/>
    <w:rsid w:val="00FE193F"/>
    <w:rsid w:val="00FE1CA0"/>
    <w:rsid w:val="00FE2459"/>
    <w:rsid w:val="00FE25B9"/>
    <w:rsid w:val="00FE4528"/>
    <w:rsid w:val="00FE45ED"/>
    <w:rsid w:val="00FE4E22"/>
    <w:rsid w:val="00FE6342"/>
    <w:rsid w:val="00FE667D"/>
    <w:rsid w:val="00FE6B12"/>
    <w:rsid w:val="00FE6C28"/>
    <w:rsid w:val="00FE70F7"/>
    <w:rsid w:val="00FE72B7"/>
    <w:rsid w:val="00FE73C4"/>
    <w:rsid w:val="00FE78CA"/>
    <w:rsid w:val="00FF07F5"/>
    <w:rsid w:val="00FF1EBC"/>
    <w:rsid w:val="00FF25F3"/>
    <w:rsid w:val="00FF2F19"/>
    <w:rsid w:val="00FF2FC3"/>
    <w:rsid w:val="00FF3BE8"/>
    <w:rsid w:val="00FF53F8"/>
    <w:rsid w:val="00FF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66AD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81AF8"/>
    <w:pPr>
      <w:suppressAutoHyphens/>
      <w:spacing w:before="120" w:after="120"/>
    </w:pPr>
    <w:rPr>
      <w:rFonts w:ascii="Arial" w:eastAsia="DejaVu Sans" w:hAnsi="Arial" w:cs="Arial"/>
      <w:kern w:val="1"/>
      <w:sz w:val="24"/>
      <w:szCs w:val="24"/>
    </w:rPr>
  </w:style>
  <w:style w:type="paragraph" w:styleId="1">
    <w:name w:val="heading 1"/>
    <w:basedOn w:val="Heading"/>
    <w:next w:val="a1"/>
    <w:qFormat/>
    <w:rsid w:val="00881AF8"/>
    <w:pPr>
      <w:numPr>
        <w:numId w:val="1"/>
      </w:numPr>
      <w:spacing w:before="240" w:after="120"/>
      <w:jc w:val="both"/>
      <w:outlineLvl w:val="0"/>
    </w:pPr>
    <w:rPr>
      <w:rFonts w:ascii="Arial" w:hAnsi="Arial" w:cs="Arial"/>
      <w:bCs/>
      <w:color w:val="007D32"/>
      <w:sz w:val="36"/>
      <w:szCs w:val="36"/>
    </w:rPr>
  </w:style>
  <w:style w:type="paragraph" w:styleId="2">
    <w:name w:val="heading 2"/>
    <w:basedOn w:val="a0"/>
    <w:next w:val="a0"/>
    <w:link w:val="20"/>
    <w:autoRedefine/>
    <w:uiPriority w:val="9"/>
    <w:unhideWhenUsed/>
    <w:qFormat/>
    <w:rsid w:val="00234411"/>
    <w:pPr>
      <w:keepNext/>
      <w:keepLines/>
      <w:spacing w:before="200"/>
      <w:outlineLvl w:val="1"/>
    </w:pPr>
    <w:rPr>
      <w:rFonts w:eastAsiaTheme="majorEastAsia" w:cstheme="majorBidi"/>
      <w:b/>
      <w:bCs/>
      <w:color w:val="007D32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881AF8"/>
    <w:pPr>
      <w:keepNext/>
      <w:keepLines/>
      <w:outlineLvl w:val="2"/>
    </w:pPr>
    <w:rPr>
      <w:rFonts w:eastAsiaTheme="majorEastAsia" w:cstheme="majorBidi"/>
      <w:bCs/>
      <w:i/>
      <w:color w:val="007D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bsatz-Standardschriftart">
    <w:name w:val="Absatz-Standardschriftart"/>
    <w:rsid w:val="00563530"/>
  </w:style>
  <w:style w:type="character" w:customStyle="1" w:styleId="WW-Absatz-Standardschriftart">
    <w:name w:val="WW-Absatz-Standardschriftart"/>
    <w:rsid w:val="00563530"/>
  </w:style>
  <w:style w:type="character" w:customStyle="1" w:styleId="NumberingSymbols">
    <w:name w:val="Numbering Symbols"/>
    <w:rsid w:val="00563530"/>
  </w:style>
  <w:style w:type="character" w:customStyle="1" w:styleId="FootnoteCharacters">
    <w:name w:val="Footnote Characters"/>
    <w:rsid w:val="00563530"/>
  </w:style>
  <w:style w:type="character" w:styleId="a5">
    <w:name w:val="footnote reference"/>
    <w:semiHidden/>
    <w:rsid w:val="00563530"/>
    <w:rPr>
      <w:vertAlign w:val="superscript"/>
    </w:rPr>
  </w:style>
  <w:style w:type="character" w:styleId="a6">
    <w:name w:val="endnote reference"/>
    <w:semiHidden/>
    <w:rsid w:val="00563530"/>
    <w:rPr>
      <w:vertAlign w:val="superscript"/>
    </w:rPr>
  </w:style>
  <w:style w:type="character" w:customStyle="1" w:styleId="EndnoteCharacters">
    <w:name w:val="Endnote Characters"/>
    <w:rsid w:val="00563530"/>
  </w:style>
  <w:style w:type="paragraph" w:customStyle="1" w:styleId="Heading">
    <w:name w:val="Heading"/>
    <w:basedOn w:val="a0"/>
    <w:next w:val="a1"/>
    <w:rsid w:val="00563530"/>
    <w:pPr>
      <w:keepNext/>
      <w:spacing w:before="1134" w:after="1134"/>
      <w:jc w:val="center"/>
    </w:pPr>
    <w:rPr>
      <w:rFonts w:ascii="FreeSans" w:hAnsi="FreeSans" w:cs="DejaVu Sans"/>
      <w:b/>
      <w:sz w:val="44"/>
      <w:szCs w:val="28"/>
    </w:rPr>
  </w:style>
  <w:style w:type="paragraph" w:styleId="a1">
    <w:name w:val="Body Text"/>
    <w:basedOn w:val="a0"/>
    <w:link w:val="a7"/>
    <w:semiHidden/>
    <w:rsid w:val="003B3525"/>
  </w:style>
  <w:style w:type="paragraph" w:styleId="a8">
    <w:name w:val="List"/>
    <w:basedOn w:val="a1"/>
    <w:semiHidden/>
    <w:rsid w:val="00563530"/>
  </w:style>
  <w:style w:type="paragraph" w:customStyle="1" w:styleId="10">
    <w:name w:val="Название объекта1"/>
    <w:basedOn w:val="a0"/>
    <w:rsid w:val="00563530"/>
    <w:pPr>
      <w:suppressLineNumbers/>
    </w:pPr>
    <w:rPr>
      <w:i/>
      <w:iCs/>
    </w:rPr>
  </w:style>
  <w:style w:type="paragraph" w:customStyle="1" w:styleId="Index">
    <w:name w:val="Index"/>
    <w:basedOn w:val="a0"/>
    <w:rsid w:val="00563530"/>
    <w:pPr>
      <w:suppressLineNumbers/>
    </w:pPr>
  </w:style>
  <w:style w:type="paragraph" w:customStyle="1" w:styleId="TableContents">
    <w:name w:val="Table Contents"/>
    <w:basedOn w:val="a0"/>
    <w:rsid w:val="00563530"/>
    <w:pPr>
      <w:suppressLineNumbers/>
    </w:pPr>
  </w:style>
  <w:style w:type="paragraph" w:customStyle="1" w:styleId="TableHeading">
    <w:name w:val="Table Heading"/>
    <w:basedOn w:val="TableContents"/>
    <w:rsid w:val="00563530"/>
    <w:pPr>
      <w:jc w:val="center"/>
    </w:pPr>
    <w:rPr>
      <w:b/>
      <w:bCs/>
    </w:rPr>
  </w:style>
  <w:style w:type="paragraph" w:styleId="a9">
    <w:name w:val="footnote text"/>
    <w:basedOn w:val="a0"/>
    <w:link w:val="aa"/>
    <w:autoRedefine/>
    <w:semiHidden/>
    <w:rsid w:val="00CA162D"/>
    <w:pPr>
      <w:suppressLineNumbers/>
      <w:spacing w:before="0" w:after="0"/>
    </w:pPr>
    <w:rPr>
      <w:sz w:val="16"/>
      <w:szCs w:val="20"/>
    </w:rPr>
  </w:style>
  <w:style w:type="paragraph" w:styleId="ab">
    <w:name w:val="Balloon Text"/>
    <w:basedOn w:val="a0"/>
    <w:link w:val="ac"/>
    <w:uiPriority w:val="99"/>
    <w:semiHidden/>
    <w:unhideWhenUsed/>
    <w:rsid w:val="00FD6C7A"/>
    <w:pPr>
      <w:spacing w:after="0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2"/>
    <w:link w:val="ab"/>
    <w:uiPriority w:val="99"/>
    <w:semiHidden/>
    <w:rsid w:val="00FD6C7A"/>
    <w:rPr>
      <w:rFonts w:ascii="Tahoma" w:eastAsia="DejaVu Sans" w:hAnsi="Tahoma" w:cs="Tahoma"/>
      <w:kern w:val="1"/>
      <w:sz w:val="16"/>
      <w:szCs w:val="16"/>
    </w:rPr>
  </w:style>
  <w:style w:type="paragraph" w:styleId="ad">
    <w:name w:val="header"/>
    <w:basedOn w:val="a0"/>
    <w:link w:val="ae"/>
    <w:uiPriority w:val="99"/>
    <w:unhideWhenUsed/>
    <w:rsid w:val="00683D08"/>
    <w:pPr>
      <w:tabs>
        <w:tab w:val="center" w:pos="4677"/>
        <w:tab w:val="right" w:pos="9355"/>
      </w:tabs>
      <w:spacing w:after="0"/>
    </w:pPr>
  </w:style>
  <w:style w:type="character" w:customStyle="1" w:styleId="ae">
    <w:name w:val="Верхний колонтитул Знак"/>
    <w:basedOn w:val="a2"/>
    <w:link w:val="ad"/>
    <w:uiPriority w:val="99"/>
    <w:rsid w:val="00683D08"/>
    <w:rPr>
      <w:rFonts w:ascii="FreeSerif" w:eastAsia="DejaVu Sans" w:hAnsi="FreeSerif"/>
      <w:kern w:val="1"/>
      <w:sz w:val="24"/>
      <w:szCs w:val="24"/>
    </w:rPr>
  </w:style>
  <w:style w:type="paragraph" w:styleId="af">
    <w:name w:val="footer"/>
    <w:basedOn w:val="a0"/>
    <w:link w:val="af0"/>
    <w:uiPriority w:val="99"/>
    <w:unhideWhenUsed/>
    <w:rsid w:val="00683D08"/>
    <w:pPr>
      <w:tabs>
        <w:tab w:val="center" w:pos="4677"/>
        <w:tab w:val="right" w:pos="9355"/>
      </w:tabs>
      <w:spacing w:after="0"/>
    </w:pPr>
  </w:style>
  <w:style w:type="character" w:customStyle="1" w:styleId="af0">
    <w:name w:val="Нижний колонтитул Знак"/>
    <w:basedOn w:val="a2"/>
    <w:link w:val="af"/>
    <w:uiPriority w:val="99"/>
    <w:rsid w:val="00683D08"/>
    <w:rPr>
      <w:rFonts w:ascii="FreeSerif" w:eastAsia="DejaVu Sans" w:hAnsi="FreeSerif"/>
      <w:kern w:val="1"/>
      <w:sz w:val="24"/>
      <w:szCs w:val="24"/>
    </w:rPr>
  </w:style>
  <w:style w:type="character" w:styleId="af1">
    <w:name w:val="Hyperlink"/>
    <w:basedOn w:val="a2"/>
    <w:uiPriority w:val="99"/>
    <w:unhideWhenUsed/>
    <w:rsid w:val="008E3120"/>
    <w:rPr>
      <w:color w:val="007D32"/>
      <w:u w:val="single"/>
    </w:rPr>
  </w:style>
  <w:style w:type="paragraph" w:styleId="af2">
    <w:name w:val="Normal (Web)"/>
    <w:basedOn w:val="a0"/>
    <w:uiPriority w:val="99"/>
    <w:semiHidden/>
    <w:unhideWhenUsed/>
    <w:rsid w:val="009E798F"/>
    <w:pPr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apple-converted-space">
    <w:name w:val="apple-converted-space"/>
    <w:basedOn w:val="a2"/>
    <w:rsid w:val="009E798F"/>
  </w:style>
  <w:style w:type="character" w:customStyle="1" w:styleId="20">
    <w:name w:val="Заголовок 2 Знак"/>
    <w:basedOn w:val="a2"/>
    <w:link w:val="2"/>
    <w:uiPriority w:val="9"/>
    <w:rsid w:val="00234411"/>
    <w:rPr>
      <w:rFonts w:ascii="Arial" w:eastAsiaTheme="majorEastAsia" w:hAnsi="Arial" w:cstheme="majorBidi"/>
      <w:b/>
      <w:bCs/>
      <w:color w:val="007D32"/>
      <w:kern w:val="1"/>
      <w:sz w:val="24"/>
      <w:szCs w:val="26"/>
    </w:rPr>
  </w:style>
  <w:style w:type="character" w:styleId="af3">
    <w:name w:val="Strong"/>
    <w:basedOn w:val="a2"/>
    <w:uiPriority w:val="22"/>
    <w:qFormat/>
    <w:rsid w:val="00CD408E"/>
    <w:rPr>
      <w:b/>
      <w:bCs/>
    </w:rPr>
  </w:style>
  <w:style w:type="character" w:styleId="af4">
    <w:name w:val="Emphasis"/>
    <w:basedOn w:val="a2"/>
    <w:uiPriority w:val="20"/>
    <w:qFormat/>
    <w:rsid w:val="001850DC"/>
    <w:rPr>
      <w:i/>
      <w:iCs/>
    </w:rPr>
  </w:style>
  <w:style w:type="paragraph" w:styleId="af5">
    <w:name w:val="TOC Heading"/>
    <w:basedOn w:val="1"/>
    <w:next w:val="a0"/>
    <w:uiPriority w:val="39"/>
    <w:unhideWhenUsed/>
    <w:qFormat/>
    <w:rsid w:val="00FC0EC0"/>
    <w:pPr>
      <w:keepLines/>
      <w:numPr>
        <w:numId w:val="0"/>
      </w:numPr>
      <w:suppressAutoHyphens w:val="0"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  <w:lang w:eastAsia="en-US"/>
    </w:rPr>
  </w:style>
  <w:style w:type="paragraph" w:styleId="11">
    <w:name w:val="toc 1"/>
    <w:basedOn w:val="a0"/>
    <w:next w:val="a0"/>
    <w:autoRedefine/>
    <w:uiPriority w:val="39"/>
    <w:unhideWhenUsed/>
    <w:qFormat/>
    <w:rsid w:val="00F807D0"/>
    <w:pPr>
      <w:tabs>
        <w:tab w:val="right" w:leader="dot" w:pos="9627"/>
      </w:tabs>
      <w:spacing w:after="0"/>
      <w:ind w:left="567"/>
    </w:pPr>
    <w:rPr>
      <w:noProof/>
    </w:rPr>
  </w:style>
  <w:style w:type="paragraph" w:customStyle="1" w:styleId="af6">
    <w:name w:val="Обычный курсив выделение"/>
    <w:basedOn w:val="a1"/>
    <w:link w:val="af7"/>
    <w:qFormat/>
    <w:rsid w:val="008C34F0"/>
    <w:pPr>
      <w:ind w:left="567"/>
    </w:pPr>
    <w:rPr>
      <w:i/>
    </w:rPr>
  </w:style>
  <w:style w:type="character" w:customStyle="1" w:styleId="a7">
    <w:name w:val="Основной текст Знак"/>
    <w:basedOn w:val="a2"/>
    <w:link w:val="a1"/>
    <w:semiHidden/>
    <w:rsid w:val="003B3525"/>
    <w:rPr>
      <w:rFonts w:ascii="Arial" w:eastAsia="DejaVu Sans" w:hAnsi="Arial" w:cs="Arial"/>
      <w:kern w:val="1"/>
      <w:sz w:val="24"/>
      <w:szCs w:val="24"/>
    </w:rPr>
  </w:style>
  <w:style w:type="character" w:customStyle="1" w:styleId="af7">
    <w:name w:val="Обычный курсив выделение Знак"/>
    <w:basedOn w:val="a7"/>
    <w:link w:val="af6"/>
    <w:rsid w:val="008C34F0"/>
    <w:rPr>
      <w:rFonts w:ascii="Arial" w:eastAsia="DejaVu Sans" w:hAnsi="Arial" w:cs="Arial"/>
      <w:i/>
      <w:kern w:val="1"/>
      <w:sz w:val="24"/>
      <w:szCs w:val="24"/>
    </w:rPr>
  </w:style>
  <w:style w:type="paragraph" w:styleId="af8">
    <w:name w:val="No Spacing"/>
    <w:uiPriority w:val="1"/>
    <w:qFormat/>
    <w:rsid w:val="009665F3"/>
    <w:rPr>
      <w:rFonts w:ascii="Arial" w:eastAsiaTheme="minorHAnsi" w:hAnsi="Arial" w:cstheme="minorBidi"/>
      <w:sz w:val="22"/>
      <w:szCs w:val="22"/>
      <w:lang w:eastAsia="en-US"/>
    </w:rPr>
  </w:style>
  <w:style w:type="table" w:styleId="af9">
    <w:name w:val="Table Grid"/>
    <w:basedOn w:val="a3"/>
    <w:uiPriority w:val="59"/>
    <w:rsid w:val="009665F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a">
    <w:name w:val="Plain Text"/>
    <w:basedOn w:val="a0"/>
    <w:link w:val="afb"/>
    <w:uiPriority w:val="99"/>
    <w:semiHidden/>
    <w:unhideWhenUsed/>
    <w:rsid w:val="003C521B"/>
    <w:pPr>
      <w:suppressAutoHyphens w:val="0"/>
      <w:spacing w:after="0"/>
    </w:pPr>
    <w:rPr>
      <w:rFonts w:eastAsia="Times New Roman" w:cs="Consolas"/>
      <w:color w:val="244061" w:themeColor="accent1" w:themeShade="80"/>
      <w:kern w:val="0"/>
      <w:sz w:val="21"/>
      <w:szCs w:val="21"/>
    </w:rPr>
  </w:style>
  <w:style w:type="character" w:customStyle="1" w:styleId="afb">
    <w:name w:val="Текст Знак"/>
    <w:basedOn w:val="a2"/>
    <w:link w:val="afa"/>
    <w:uiPriority w:val="99"/>
    <w:semiHidden/>
    <w:rsid w:val="003C521B"/>
    <w:rPr>
      <w:rFonts w:ascii="Arial" w:hAnsi="Arial" w:cs="Consolas"/>
      <w:color w:val="244061" w:themeColor="accent1" w:themeShade="80"/>
      <w:sz w:val="21"/>
      <w:szCs w:val="21"/>
    </w:rPr>
  </w:style>
  <w:style w:type="paragraph" w:styleId="afc">
    <w:name w:val="caption"/>
    <w:basedOn w:val="a0"/>
    <w:next w:val="a0"/>
    <w:uiPriority w:val="35"/>
    <w:unhideWhenUsed/>
    <w:qFormat/>
    <w:rsid w:val="00786099"/>
    <w:pPr>
      <w:spacing w:after="200"/>
      <w:jc w:val="center"/>
    </w:pPr>
    <w:rPr>
      <w:bCs/>
      <w:i/>
      <w:noProof/>
      <w:color w:val="007D32"/>
      <w:szCs w:val="18"/>
    </w:rPr>
  </w:style>
  <w:style w:type="paragraph" w:styleId="a">
    <w:name w:val="List Paragraph"/>
    <w:basedOn w:val="a1"/>
    <w:uiPriority w:val="34"/>
    <w:qFormat/>
    <w:rsid w:val="0077279D"/>
    <w:pPr>
      <w:numPr>
        <w:numId w:val="3"/>
      </w:numPr>
      <w:spacing w:before="60" w:after="60"/>
      <w:ind w:left="714" w:hanging="357"/>
    </w:pPr>
  </w:style>
  <w:style w:type="character" w:customStyle="1" w:styleId="submitted6">
    <w:name w:val="submitted6"/>
    <w:basedOn w:val="a2"/>
    <w:rsid w:val="001566DF"/>
    <w:rPr>
      <w:b/>
      <w:bCs/>
      <w:color w:val="8C8C8C"/>
      <w:sz w:val="20"/>
      <w:szCs w:val="20"/>
    </w:rPr>
  </w:style>
  <w:style w:type="character" w:styleId="afd">
    <w:name w:val="annotation reference"/>
    <w:basedOn w:val="a2"/>
    <w:uiPriority w:val="99"/>
    <w:semiHidden/>
    <w:unhideWhenUsed/>
    <w:rsid w:val="00F84CF8"/>
    <w:rPr>
      <w:sz w:val="16"/>
      <w:szCs w:val="16"/>
    </w:rPr>
  </w:style>
  <w:style w:type="paragraph" w:styleId="afe">
    <w:name w:val="annotation text"/>
    <w:basedOn w:val="a0"/>
    <w:link w:val="aff"/>
    <w:uiPriority w:val="99"/>
    <w:semiHidden/>
    <w:unhideWhenUsed/>
    <w:rsid w:val="00F84CF8"/>
    <w:rPr>
      <w:sz w:val="20"/>
      <w:szCs w:val="20"/>
    </w:rPr>
  </w:style>
  <w:style w:type="character" w:customStyle="1" w:styleId="aff">
    <w:name w:val="Текст примечания Знак"/>
    <w:basedOn w:val="a2"/>
    <w:link w:val="afe"/>
    <w:uiPriority w:val="99"/>
    <w:semiHidden/>
    <w:rsid w:val="00F84CF8"/>
    <w:rPr>
      <w:rFonts w:ascii="Arial" w:eastAsia="DejaVu Sans" w:hAnsi="Arial"/>
      <w:kern w:val="1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F84CF8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F84CF8"/>
    <w:rPr>
      <w:rFonts w:ascii="Arial" w:eastAsia="DejaVu Sans" w:hAnsi="Arial"/>
      <w:b/>
      <w:bCs/>
      <w:kern w:val="1"/>
    </w:rPr>
  </w:style>
  <w:style w:type="paragraph" w:styleId="21">
    <w:name w:val="toc 2"/>
    <w:basedOn w:val="a0"/>
    <w:next w:val="a0"/>
    <w:autoRedefine/>
    <w:uiPriority w:val="39"/>
    <w:unhideWhenUsed/>
    <w:qFormat/>
    <w:rsid w:val="00F52062"/>
    <w:pPr>
      <w:tabs>
        <w:tab w:val="right" w:leader="dot" w:pos="9627"/>
      </w:tabs>
      <w:suppressAutoHyphens w:val="0"/>
      <w:spacing w:before="60" w:after="0" w:line="276" w:lineRule="auto"/>
      <w:ind w:left="851"/>
    </w:pPr>
    <w:rPr>
      <w:rFonts w:asciiTheme="minorHAnsi" w:eastAsiaTheme="minorEastAsia" w:hAnsiTheme="minorHAnsi" w:cstheme="minorBidi"/>
      <w:kern w:val="0"/>
      <w:sz w:val="20"/>
      <w:szCs w:val="22"/>
    </w:rPr>
  </w:style>
  <w:style w:type="paragraph" w:styleId="31">
    <w:name w:val="toc 3"/>
    <w:basedOn w:val="a0"/>
    <w:next w:val="a0"/>
    <w:autoRedefine/>
    <w:uiPriority w:val="39"/>
    <w:unhideWhenUsed/>
    <w:qFormat/>
    <w:rsid w:val="00F52062"/>
    <w:pPr>
      <w:tabs>
        <w:tab w:val="right" w:leader="dot" w:pos="9627"/>
      </w:tabs>
      <w:suppressAutoHyphens w:val="0"/>
      <w:spacing w:before="40" w:after="0" w:line="276" w:lineRule="auto"/>
      <w:ind w:left="1134"/>
    </w:pPr>
    <w:rPr>
      <w:rFonts w:asciiTheme="minorHAnsi" w:eastAsiaTheme="minorEastAsia" w:hAnsiTheme="minorHAnsi" w:cstheme="minorBidi"/>
      <w:kern w:val="0"/>
      <w:sz w:val="20"/>
      <w:szCs w:val="22"/>
    </w:rPr>
  </w:style>
  <w:style w:type="paragraph" w:styleId="aff2">
    <w:name w:val="endnote text"/>
    <w:basedOn w:val="a0"/>
    <w:link w:val="aff3"/>
    <w:uiPriority w:val="99"/>
    <w:semiHidden/>
    <w:unhideWhenUsed/>
    <w:rsid w:val="00016DD1"/>
    <w:pPr>
      <w:spacing w:after="0"/>
    </w:pPr>
    <w:rPr>
      <w:sz w:val="20"/>
      <w:szCs w:val="20"/>
    </w:rPr>
  </w:style>
  <w:style w:type="character" w:customStyle="1" w:styleId="aff3">
    <w:name w:val="Текст концевой сноски Знак"/>
    <w:basedOn w:val="a2"/>
    <w:link w:val="aff2"/>
    <w:uiPriority w:val="99"/>
    <w:semiHidden/>
    <w:rsid w:val="00016DD1"/>
    <w:rPr>
      <w:rFonts w:ascii="Arial" w:eastAsia="DejaVu Sans" w:hAnsi="Arial"/>
      <w:kern w:val="1"/>
    </w:rPr>
  </w:style>
  <w:style w:type="character" w:styleId="aff4">
    <w:name w:val="Placeholder Text"/>
    <w:basedOn w:val="a2"/>
    <w:uiPriority w:val="99"/>
    <w:semiHidden/>
    <w:rsid w:val="00DA37BD"/>
    <w:rPr>
      <w:color w:val="808080"/>
    </w:rPr>
  </w:style>
  <w:style w:type="character" w:styleId="aff5">
    <w:name w:val="FollowedHyperlink"/>
    <w:basedOn w:val="a2"/>
    <w:uiPriority w:val="99"/>
    <w:semiHidden/>
    <w:unhideWhenUsed/>
    <w:rsid w:val="00A32B2D"/>
    <w:rPr>
      <w:color w:val="800080" w:themeColor="followedHyperlink"/>
      <w:u w:val="single"/>
    </w:rPr>
  </w:style>
  <w:style w:type="character" w:customStyle="1" w:styleId="30">
    <w:name w:val="Заголовок 3 Знак"/>
    <w:basedOn w:val="a2"/>
    <w:link w:val="3"/>
    <w:uiPriority w:val="9"/>
    <w:rsid w:val="00881AF8"/>
    <w:rPr>
      <w:rFonts w:ascii="Arial" w:eastAsiaTheme="majorEastAsia" w:hAnsi="Arial" w:cstheme="majorBidi"/>
      <w:bCs/>
      <w:i/>
      <w:color w:val="007D32"/>
      <w:kern w:val="1"/>
      <w:sz w:val="24"/>
      <w:szCs w:val="24"/>
    </w:rPr>
  </w:style>
  <w:style w:type="paragraph" w:customStyle="1" w:styleId="aff6">
    <w:name w:val="Обычный зеленый"/>
    <w:basedOn w:val="a0"/>
    <w:link w:val="aff7"/>
    <w:qFormat/>
    <w:rsid w:val="006276F1"/>
    <w:rPr>
      <w:color w:val="007D32"/>
    </w:rPr>
  </w:style>
  <w:style w:type="character" w:customStyle="1" w:styleId="aff7">
    <w:name w:val="Обычный зеленый Знак"/>
    <w:basedOn w:val="a2"/>
    <w:link w:val="aff6"/>
    <w:rsid w:val="006276F1"/>
    <w:rPr>
      <w:rFonts w:ascii="Arial" w:eastAsia="DejaVu Sans" w:hAnsi="Arial" w:cs="Arial"/>
      <w:color w:val="007D32"/>
      <w:kern w:val="1"/>
      <w:sz w:val="24"/>
      <w:szCs w:val="24"/>
    </w:rPr>
  </w:style>
  <w:style w:type="paragraph" w:customStyle="1" w:styleId="aff8">
    <w:name w:val="Обычный курсив"/>
    <w:basedOn w:val="a0"/>
    <w:link w:val="aff9"/>
    <w:qFormat/>
    <w:rsid w:val="00881AF8"/>
    <w:rPr>
      <w:i/>
    </w:rPr>
  </w:style>
  <w:style w:type="character" w:customStyle="1" w:styleId="aff9">
    <w:name w:val="Обычный курсив Знак"/>
    <w:basedOn w:val="a2"/>
    <w:link w:val="aff8"/>
    <w:rsid w:val="00881AF8"/>
    <w:rPr>
      <w:rFonts w:ascii="Arial" w:eastAsia="DejaVu Sans" w:hAnsi="Arial" w:cs="Arial"/>
      <w:i/>
      <w:kern w:val="1"/>
      <w:sz w:val="24"/>
      <w:szCs w:val="24"/>
    </w:rPr>
  </w:style>
  <w:style w:type="character" w:customStyle="1" w:styleId="aa">
    <w:name w:val="Текст сноски Знак"/>
    <w:basedOn w:val="a2"/>
    <w:link w:val="a9"/>
    <w:semiHidden/>
    <w:rsid w:val="00CA162D"/>
    <w:rPr>
      <w:rFonts w:ascii="Arial" w:eastAsia="DejaVu Sans" w:hAnsi="Arial" w:cs="Arial"/>
      <w:kern w:val="1"/>
      <w:sz w:val="16"/>
    </w:rPr>
  </w:style>
  <w:style w:type="paragraph" w:customStyle="1" w:styleId="affa">
    <w:name w:val="Утечка"/>
    <w:basedOn w:val="a1"/>
    <w:link w:val="affb"/>
    <w:qFormat/>
    <w:rsid w:val="00435C87"/>
    <w:pPr>
      <w:ind w:left="709"/>
    </w:pPr>
    <w:rPr>
      <w:i/>
    </w:rPr>
  </w:style>
  <w:style w:type="character" w:customStyle="1" w:styleId="affb">
    <w:name w:val="Утечка Знак"/>
    <w:basedOn w:val="a7"/>
    <w:link w:val="affa"/>
    <w:rsid w:val="00435C87"/>
    <w:rPr>
      <w:rFonts w:ascii="Arial" w:eastAsia="DejaVu Sans" w:hAnsi="Arial" w:cs="Arial"/>
      <w:i/>
      <w:kern w:val="1"/>
      <w:sz w:val="24"/>
      <w:szCs w:val="24"/>
    </w:rPr>
  </w:style>
  <w:style w:type="character" w:customStyle="1" w:styleId="UnresolvedMention">
    <w:name w:val="Unresolved Mention"/>
    <w:basedOn w:val="a2"/>
    <w:uiPriority w:val="99"/>
    <w:semiHidden/>
    <w:unhideWhenUsed/>
    <w:rsid w:val="00AE489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81AF8"/>
    <w:pPr>
      <w:suppressAutoHyphens/>
      <w:spacing w:before="120" w:after="120"/>
    </w:pPr>
    <w:rPr>
      <w:rFonts w:ascii="Arial" w:eastAsia="DejaVu Sans" w:hAnsi="Arial" w:cs="Arial"/>
      <w:kern w:val="1"/>
      <w:sz w:val="24"/>
      <w:szCs w:val="24"/>
    </w:rPr>
  </w:style>
  <w:style w:type="paragraph" w:styleId="1">
    <w:name w:val="heading 1"/>
    <w:basedOn w:val="Heading"/>
    <w:next w:val="a1"/>
    <w:qFormat/>
    <w:rsid w:val="00881AF8"/>
    <w:pPr>
      <w:numPr>
        <w:numId w:val="1"/>
      </w:numPr>
      <w:spacing w:before="240" w:after="120"/>
      <w:jc w:val="both"/>
      <w:outlineLvl w:val="0"/>
    </w:pPr>
    <w:rPr>
      <w:rFonts w:ascii="Arial" w:hAnsi="Arial" w:cs="Arial"/>
      <w:bCs/>
      <w:color w:val="007D32"/>
      <w:sz w:val="36"/>
      <w:szCs w:val="36"/>
    </w:rPr>
  </w:style>
  <w:style w:type="paragraph" w:styleId="2">
    <w:name w:val="heading 2"/>
    <w:basedOn w:val="a0"/>
    <w:next w:val="a0"/>
    <w:link w:val="20"/>
    <w:autoRedefine/>
    <w:uiPriority w:val="9"/>
    <w:unhideWhenUsed/>
    <w:qFormat/>
    <w:rsid w:val="00234411"/>
    <w:pPr>
      <w:keepNext/>
      <w:keepLines/>
      <w:spacing w:before="200"/>
      <w:outlineLvl w:val="1"/>
    </w:pPr>
    <w:rPr>
      <w:rFonts w:eastAsiaTheme="majorEastAsia" w:cstheme="majorBidi"/>
      <w:b/>
      <w:bCs/>
      <w:color w:val="007D32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881AF8"/>
    <w:pPr>
      <w:keepNext/>
      <w:keepLines/>
      <w:outlineLvl w:val="2"/>
    </w:pPr>
    <w:rPr>
      <w:rFonts w:eastAsiaTheme="majorEastAsia" w:cstheme="majorBidi"/>
      <w:bCs/>
      <w:i/>
      <w:color w:val="007D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bsatz-Standardschriftart">
    <w:name w:val="Absatz-Standardschriftart"/>
    <w:rsid w:val="00563530"/>
  </w:style>
  <w:style w:type="character" w:customStyle="1" w:styleId="WW-Absatz-Standardschriftart">
    <w:name w:val="WW-Absatz-Standardschriftart"/>
    <w:rsid w:val="00563530"/>
  </w:style>
  <w:style w:type="character" w:customStyle="1" w:styleId="NumberingSymbols">
    <w:name w:val="Numbering Symbols"/>
    <w:rsid w:val="00563530"/>
  </w:style>
  <w:style w:type="character" w:customStyle="1" w:styleId="FootnoteCharacters">
    <w:name w:val="Footnote Characters"/>
    <w:rsid w:val="00563530"/>
  </w:style>
  <w:style w:type="character" w:styleId="a5">
    <w:name w:val="footnote reference"/>
    <w:semiHidden/>
    <w:rsid w:val="00563530"/>
    <w:rPr>
      <w:vertAlign w:val="superscript"/>
    </w:rPr>
  </w:style>
  <w:style w:type="character" w:styleId="a6">
    <w:name w:val="endnote reference"/>
    <w:semiHidden/>
    <w:rsid w:val="00563530"/>
    <w:rPr>
      <w:vertAlign w:val="superscript"/>
    </w:rPr>
  </w:style>
  <w:style w:type="character" w:customStyle="1" w:styleId="EndnoteCharacters">
    <w:name w:val="Endnote Characters"/>
    <w:rsid w:val="00563530"/>
  </w:style>
  <w:style w:type="paragraph" w:customStyle="1" w:styleId="Heading">
    <w:name w:val="Heading"/>
    <w:basedOn w:val="a0"/>
    <w:next w:val="a1"/>
    <w:rsid w:val="00563530"/>
    <w:pPr>
      <w:keepNext/>
      <w:spacing w:before="1134" w:after="1134"/>
      <w:jc w:val="center"/>
    </w:pPr>
    <w:rPr>
      <w:rFonts w:ascii="FreeSans" w:hAnsi="FreeSans" w:cs="DejaVu Sans"/>
      <w:b/>
      <w:sz w:val="44"/>
      <w:szCs w:val="28"/>
    </w:rPr>
  </w:style>
  <w:style w:type="paragraph" w:styleId="a1">
    <w:name w:val="Body Text"/>
    <w:basedOn w:val="a0"/>
    <w:link w:val="a7"/>
    <w:semiHidden/>
    <w:rsid w:val="003B3525"/>
  </w:style>
  <w:style w:type="paragraph" w:styleId="a8">
    <w:name w:val="List"/>
    <w:basedOn w:val="a1"/>
    <w:semiHidden/>
    <w:rsid w:val="00563530"/>
  </w:style>
  <w:style w:type="paragraph" w:customStyle="1" w:styleId="10">
    <w:name w:val="Название объекта1"/>
    <w:basedOn w:val="a0"/>
    <w:rsid w:val="00563530"/>
    <w:pPr>
      <w:suppressLineNumbers/>
    </w:pPr>
    <w:rPr>
      <w:i/>
      <w:iCs/>
    </w:rPr>
  </w:style>
  <w:style w:type="paragraph" w:customStyle="1" w:styleId="Index">
    <w:name w:val="Index"/>
    <w:basedOn w:val="a0"/>
    <w:rsid w:val="00563530"/>
    <w:pPr>
      <w:suppressLineNumbers/>
    </w:pPr>
  </w:style>
  <w:style w:type="paragraph" w:customStyle="1" w:styleId="TableContents">
    <w:name w:val="Table Contents"/>
    <w:basedOn w:val="a0"/>
    <w:rsid w:val="00563530"/>
    <w:pPr>
      <w:suppressLineNumbers/>
    </w:pPr>
  </w:style>
  <w:style w:type="paragraph" w:customStyle="1" w:styleId="TableHeading">
    <w:name w:val="Table Heading"/>
    <w:basedOn w:val="TableContents"/>
    <w:rsid w:val="00563530"/>
    <w:pPr>
      <w:jc w:val="center"/>
    </w:pPr>
    <w:rPr>
      <w:b/>
      <w:bCs/>
    </w:rPr>
  </w:style>
  <w:style w:type="paragraph" w:styleId="a9">
    <w:name w:val="footnote text"/>
    <w:basedOn w:val="a0"/>
    <w:link w:val="aa"/>
    <w:autoRedefine/>
    <w:semiHidden/>
    <w:rsid w:val="00CA162D"/>
    <w:pPr>
      <w:suppressLineNumbers/>
      <w:spacing w:before="0" w:after="0"/>
    </w:pPr>
    <w:rPr>
      <w:sz w:val="16"/>
      <w:szCs w:val="20"/>
    </w:rPr>
  </w:style>
  <w:style w:type="paragraph" w:styleId="ab">
    <w:name w:val="Balloon Text"/>
    <w:basedOn w:val="a0"/>
    <w:link w:val="ac"/>
    <w:uiPriority w:val="99"/>
    <w:semiHidden/>
    <w:unhideWhenUsed/>
    <w:rsid w:val="00FD6C7A"/>
    <w:pPr>
      <w:spacing w:after="0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2"/>
    <w:link w:val="ab"/>
    <w:uiPriority w:val="99"/>
    <w:semiHidden/>
    <w:rsid w:val="00FD6C7A"/>
    <w:rPr>
      <w:rFonts w:ascii="Tahoma" w:eastAsia="DejaVu Sans" w:hAnsi="Tahoma" w:cs="Tahoma"/>
      <w:kern w:val="1"/>
      <w:sz w:val="16"/>
      <w:szCs w:val="16"/>
    </w:rPr>
  </w:style>
  <w:style w:type="paragraph" w:styleId="ad">
    <w:name w:val="header"/>
    <w:basedOn w:val="a0"/>
    <w:link w:val="ae"/>
    <w:uiPriority w:val="99"/>
    <w:unhideWhenUsed/>
    <w:rsid w:val="00683D08"/>
    <w:pPr>
      <w:tabs>
        <w:tab w:val="center" w:pos="4677"/>
        <w:tab w:val="right" w:pos="9355"/>
      </w:tabs>
      <w:spacing w:after="0"/>
    </w:pPr>
  </w:style>
  <w:style w:type="character" w:customStyle="1" w:styleId="ae">
    <w:name w:val="Верхний колонтитул Знак"/>
    <w:basedOn w:val="a2"/>
    <w:link w:val="ad"/>
    <w:uiPriority w:val="99"/>
    <w:rsid w:val="00683D08"/>
    <w:rPr>
      <w:rFonts w:ascii="FreeSerif" w:eastAsia="DejaVu Sans" w:hAnsi="FreeSerif"/>
      <w:kern w:val="1"/>
      <w:sz w:val="24"/>
      <w:szCs w:val="24"/>
    </w:rPr>
  </w:style>
  <w:style w:type="paragraph" w:styleId="af">
    <w:name w:val="footer"/>
    <w:basedOn w:val="a0"/>
    <w:link w:val="af0"/>
    <w:uiPriority w:val="99"/>
    <w:unhideWhenUsed/>
    <w:rsid w:val="00683D08"/>
    <w:pPr>
      <w:tabs>
        <w:tab w:val="center" w:pos="4677"/>
        <w:tab w:val="right" w:pos="9355"/>
      </w:tabs>
      <w:spacing w:after="0"/>
    </w:pPr>
  </w:style>
  <w:style w:type="character" w:customStyle="1" w:styleId="af0">
    <w:name w:val="Нижний колонтитул Знак"/>
    <w:basedOn w:val="a2"/>
    <w:link w:val="af"/>
    <w:uiPriority w:val="99"/>
    <w:rsid w:val="00683D08"/>
    <w:rPr>
      <w:rFonts w:ascii="FreeSerif" w:eastAsia="DejaVu Sans" w:hAnsi="FreeSerif"/>
      <w:kern w:val="1"/>
      <w:sz w:val="24"/>
      <w:szCs w:val="24"/>
    </w:rPr>
  </w:style>
  <w:style w:type="character" w:styleId="af1">
    <w:name w:val="Hyperlink"/>
    <w:basedOn w:val="a2"/>
    <w:uiPriority w:val="99"/>
    <w:unhideWhenUsed/>
    <w:rsid w:val="008E3120"/>
    <w:rPr>
      <w:color w:val="007D32"/>
      <w:u w:val="single"/>
    </w:rPr>
  </w:style>
  <w:style w:type="paragraph" w:styleId="af2">
    <w:name w:val="Normal (Web)"/>
    <w:basedOn w:val="a0"/>
    <w:uiPriority w:val="99"/>
    <w:semiHidden/>
    <w:unhideWhenUsed/>
    <w:rsid w:val="009E798F"/>
    <w:pPr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apple-converted-space">
    <w:name w:val="apple-converted-space"/>
    <w:basedOn w:val="a2"/>
    <w:rsid w:val="009E798F"/>
  </w:style>
  <w:style w:type="character" w:customStyle="1" w:styleId="20">
    <w:name w:val="Заголовок 2 Знак"/>
    <w:basedOn w:val="a2"/>
    <w:link w:val="2"/>
    <w:uiPriority w:val="9"/>
    <w:rsid w:val="00234411"/>
    <w:rPr>
      <w:rFonts w:ascii="Arial" w:eastAsiaTheme="majorEastAsia" w:hAnsi="Arial" w:cstheme="majorBidi"/>
      <w:b/>
      <w:bCs/>
      <w:color w:val="007D32"/>
      <w:kern w:val="1"/>
      <w:sz w:val="24"/>
      <w:szCs w:val="26"/>
    </w:rPr>
  </w:style>
  <w:style w:type="character" w:styleId="af3">
    <w:name w:val="Strong"/>
    <w:basedOn w:val="a2"/>
    <w:uiPriority w:val="22"/>
    <w:qFormat/>
    <w:rsid w:val="00CD408E"/>
    <w:rPr>
      <w:b/>
      <w:bCs/>
    </w:rPr>
  </w:style>
  <w:style w:type="character" w:styleId="af4">
    <w:name w:val="Emphasis"/>
    <w:basedOn w:val="a2"/>
    <w:uiPriority w:val="20"/>
    <w:qFormat/>
    <w:rsid w:val="001850DC"/>
    <w:rPr>
      <w:i/>
      <w:iCs/>
    </w:rPr>
  </w:style>
  <w:style w:type="paragraph" w:styleId="af5">
    <w:name w:val="TOC Heading"/>
    <w:basedOn w:val="1"/>
    <w:next w:val="a0"/>
    <w:uiPriority w:val="39"/>
    <w:unhideWhenUsed/>
    <w:qFormat/>
    <w:rsid w:val="00FC0EC0"/>
    <w:pPr>
      <w:keepLines/>
      <w:numPr>
        <w:numId w:val="0"/>
      </w:numPr>
      <w:suppressAutoHyphens w:val="0"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  <w:lang w:eastAsia="en-US"/>
    </w:rPr>
  </w:style>
  <w:style w:type="paragraph" w:styleId="11">
    <w:name w:val="toc 1"/>
    <w:basedOn w:val="a0"/>
    <w:next w:val="a0"/>
    <w:autoRedefine/>
    <w:uiPriority w:val="39"/>
    <w:unhideWhenUsed/>
    <w:qFormat/>
    <w:rsid w:val="00F807D0"/>
    <w:pPr>
      <w:tabs>
        <w:tab w:val="right" w:leader="dot" w:pos="9627"/>
      </w:tabs>
      <w:spacing w:after="0"/>
      <w:ind w:left="567"/>
    </w:pPr>
    <w:rPr>
      <w:noProof/>
    </w:rPr>
  </w:style>
  <w:style w:type="paragraph" w:customStyle="1" w:styleId="af6">
    <w:name w:val="Обычный курсив выделение"/>
    <w:basedOn w:val="a1"/>
    <w:link w:val="af7"/>
    <w:qFormat/>
    <w:rsid w:val="008C34F0"/>
    <w:pPr>
      <w:ind w:left="567"/>
    </w:pPr>
    <w:rPr>
      <w:i/>
    </w:rPr>
  </w:style>
  <w:style w:type="character" w:customStyle="1" w:styleId="a7">
    <w:name w:val="Основной текст Знак"/>
    <w:basedOn w:val="a2"/>
    <w:link w:val="a1"/>
    <w:semiHidden/>
    <w:rsid w:val="003B3525"/>
    <w:rPr>
      <w:rFonts w:ascii="Arial" w:eastAsia="DejaVu Sans" w:hAnsi="Arial" w:cs="Arial"/>
      <w:kern w:val="1"/>
      <w:sz w:val="24"/>
      <w:szCs w:val="24"/>
    </w:rPr>
  </w:style>
  <w:style w:type="character" w:customStyle="1" w:styleId="af7">
    <w:name w:val="Обычный курсив выделение Знак"/>
    <w:basedOn w:val="a7"/>
    <w:link w:val="af6"/>
    <w:rsid w:val="008C34F0"/>
    <w:rPr>
      <w:rFonts w:ascii="Arial" w:eastAsia="DejaVu Sans" w:hAnsi="Arial" w:cs="Arial"/>
      <w:i/>
      <w:kern w:val="1"/>
      <w:sz w:val="24"/>
      <w:szCs w:val="24"/>
    </w:rPr>
  </w:style>
  <w:style w:type="paragraph" w:styleId="af8">
    <w:name w:val="No Spacing"/>
    <w:uiPriority w:val="1"/>
    <w:qFormat/>
    <w:rsid w:val="009665F3"/>
    <w:rPr>
      <w:rFonts w:ascii="Arial" w:eastAsiaTheme="minorHAnsi" w:hAnsi="Arial" w:cstheme="minorBidi"/>
      <w:sz w:val="22"/>
      <w:szCs w:val="22"/>
      <w:lang w:eastAsia="en-US"/>
    </w:rPr>
  </w:style>
  <w:style w:type="table" w:styleId="af9">
    <w:name w:val="Table Grid"/>
    <w:basedOn w:val="a3"/>
    <w:uiPriority w:val="59"/>
    <w:rsid w:val="009665F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a">
    <w:name w:val="Plain Text"/>
    <w:basedOn w:val="a0"/>
    <w:link w:val="afb"/>
    <w:uiPriority w:val="99"/>
    <w:semiHidden/>
    <w:unhideWhenUsed/>
    <w:rsid w:val="003C521B"/>
    <w:pPr>
      <w:suppressAutoHyphens w:val="0"/>
      <w:spacing w:after="0"/>
    </w:pPr>
    <w:rPr>
      <w:rFonts w:eastAsia="Times New Roman" w:cs="Consolas"/>
      <w:color w:val="244061" w:themeColor="accent1" w:themeShade="80"/>
      <w:kern w:val="0"/>
      <w:sz w:val="21"/>
      <w:szCs w:val="21"/>
    </w:rPr>
  </w:style>
  <w:style w:type="character" w:customStyle="1" w:styleId="afb">
    <w:name w:val="Текст Знак"/>
    <w:basedOn w:val="a2"/>
    <w:link w:val="afa"/>
    <w:uiPriority w:val="99"/>
    <w:semiHidden/>
    <w:rsid w:val="003C521B"/>
    <w:rPr>
      <w:rFonts w:ascii="Arial" w:hAnsi="Arial" w:cs="Consolas"/>
      <w:color w:val="244061" w:themeColor="accent1" w:themeShade="80"/>
      <w:sz w:val="21"/>
      <w:szCs w:val="21"/>
    </w:rPr>
  </w:style>
  <w:style w:type="paragraph" w:styleId="afc">
    <w:name w:val="caption"/>
    <w:basedOn w:val="a0"/>
    <w:next w:val="a0"/>
    <w:uiPriority w:val="35"/>
    <w:unhideWhenUsed/>
    <w:qFormat/>
    <w:rsid w:val="00786099"/>
    <w:pPr>
      <w:spacing w:after="200"/>
      <w:jc w:val="center"/>
    </w:pPr>
    <w:rPr>
      <w:bCs/>
      <w:i/>
      <w:noProof/>
      <w:color w:val="007D32"/>
      <w:szCs w:val="18"/>
    </w:rPr>
  </w:style>
  <w:style w:type="paragraph" w:styleId="a">
    <w:name w:val="List Paragraph"/>
    <w:basedOn w:val="a1"/>
    <w:uiPriority w:val="34"/>
    <w:qFormat/>
    <w:rsid w:val="0077279D"/>
    <w:pPr>
      <w:numPr>
        <w:numId w:val="3"/>
      </w:numPr>
      <w:spacing w:before="60" w:after="60"/>
      <w:ind w:left="714" w:hanging="357"/>
    </w:pPr>
  </w:style>
  <w:style w:type="character" w:customStyle="1" w:styleId="submitted6">
    <w:name w:val="submitted6"/>
    <w:basedOn w:val="a2"/>
    <w:rsid w:val="001566DF"/>
    <w:rPr>
      <w:b/>
      <w:bCs/>
      <w:color w:val="8C8C8C"/>
      <w:sz w:val="20"/>
      <w:szCs w:val="20"/>
    </w:rPr>
  </w:style>
  <w:style w:type="character" w:styleId="afd">
    <w:name w:val="annotation reference"/>
    <w:basedOn w:val="a2"/>
    <w:uiPriority w:val="99"/>
    <w:semiHidden/>
    <w:unhideWhenUsed/>
    <w:rsid w:val="00F84CF8"/>
    <w:rPr>
      <w:sz w:val="16"/>
      <w:szCs w:val="16"/>
    </w:rPr>
  </w:style>
  <w:style w:type="paragraph" w:styleId="afe">
    <w:name w:val="annotation text"/>
    <w:basedOn w:val="a0"/>
    <w:link w:val="aff"/>
    <w:uiPriority w:val="99"/>
    <w:semiHidden/>
    <w:unhideWhenUsed/>
    <w:rsid w:val="00F84CF8"/>
    <w:rPr>
      <w:sz w:val="20"/>
      <w:szCs w:val="20"/>
    </w:rPr>
  </w:style>
  <w:style w:type="character" w:customStyle="1" w:styleId="aff">
    <w:name w:val="Текст примечания Знак"/>
    <w:basedOn w:val="a2"/>
    <w:link w:val="afe"/>
    <w:uiPriority w:val="99"/>
    <w:semiHidden/>
    <w:rsid w:val="00F84CF8"/>
    <w:rPr>
      <w:rFonts w:ascii="Arial" w:eastAsia="DejaVu Sans" w:hAnsi="Arial"/>
      <w:kern w:val="1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F84CF8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F84CF8"/>
    <w:rPr>
      <w:rFonts w:ascii="Arial" w:eastAsia="DejaVu Sans" w:hAnsi="Arial"/>
      <w:b/>
      <w:bCs/>
      <w:kern w:val="1"/>
    </w:rPr>
  </w:style>
  <w:style w:type="paragraph" w:styleId="21">
    <w:name w:val="toc 2"/>
    <w:basedOn w:val="a0"/>
    <w:next w:val="a0"/>
    <w:autoRedefine/>
    <w:uiPriority w:val="39"/>
    <w:unhideWhenUsed/>
    <w:qFormat/>
    <w:rsid w:val="00F52062"/>
    <w:pPr>
      <w:tabs>
        <w:tab w:val="right" w:leader="dot" w:pos="9627"/>
      </w:tabs>
      <w:suppressAutoHyphens w:val="0"/>
      <w:spacing w:before="60" w:after="0" w:line="276" w:lineRule="auto"/>
      <w:ind w:left="851"/>
    </w:pPr>
    <w:rPr>
      <w:rFonts w:asciiTheme="minorHAnsi" w:eastAsiaTheme="minorEastAsia" w:hAnsiTheme="minorHAnsi" w:cstheme="minorBidi"/>
      <w:kern w:val="0"/>
      <w:sz w:val="20"/>
      <w:szCs w:val="22"/>
    </w:rPr>
  </w:style>
  <w:style w:type="paragraph" w:styleId="31">
    <w:name w:val="toc 3"/>
    <w:basedOn w:val="a0"/>
    <w:next w:val="a0"/>
    <w:autoRedefine/>
    <w:uiPriority w:val="39"/>
    <w:unhideWhenUsed/>
    <w:qFormat/>
    <w:rsid w:val="00F52062"/>
    <w:pPr>
      <w:tabs>
        <w:tab w:val="right" w:leader="dot" w:pos="9627"/>
      </w:tabs>
      <w:suppressAutoHyphens w:val="0"/>
      <w:spacing w:before="40" w:after="0" w:line="276" w:lineRule="auto"/>
      <w:ind w:left="1134"/>
    </w:pPr>
    <w:rPr>
      <w:rFonts w:asciiTheme="minorHAnsi" w:eastAsiaTheme="minorEastAsia" w:hAnsiTheme="minorHAnsi" w:cstheme="minorBidi"/>
      <w:kern w:val="0"/>
      <w:sz w:val="20"/>
      <w:szCs w:val="22"/>
    </w:rPr>
  </w:style>
  <w:style w:type="paragraph" w:styleId="aff2">
    <w:name w:val="endnote text"/>
    <w:basedOn w:val="a0"/>
    <w:link w:val="aff3"/>
    <w:uiPriority w:val="99"/>
    <w:semiHidden/>
    <w:unhideWhenUsed/>
    <w:rsid w:val="00016DD1"/>
    <w:pPr>
      <w:spacing w:after="0"/>
    </w:pPr>
    <w:rPr>
      <w:sz w:val="20"/>
      <w:szCs w:val="20"/>
    </w:rPr>
  </w:style>
  <w:style w:type="character" w:customStyle="1" w:styleId="aff3">
    <w:name w:val="Текст концевой сноски Знак"/>
    <w:basedOn w:val="a2"/>
    <w:link w:val="aff2"/>
    <w:uiPriority w:val="99"/>
    <w:semiHidden/>
    <w:rsid w:val="00016DD1"/>
    <w:rPr>
      <w:rFonts w:ascii="Arial" w:eastAsia="DejaVu Sans" w:hAnsi="Arial"/>
      <w:kern w:val="1"/>
    </w:rPr>
  </w:style>
  <w:style w:type="character" w:styleId="aff4">
    <w:name w:val="Placeholder Text"/>
    <w:basedOn w:val="a2"/>
    <w:uiPriority w:val="99"/>
    <w:semiHidden/>
    <w:rsid w:val="00DA37BD"/>
    <w:rPr>
      <w:color w:val="808080"/>
    </w:rPr>
  </w:style>
  <w:style w:type="character" w:styleId="aff5">
    <w:name w:val="FollowedHyperlink"/>
    <w:basedOn w:val="a2"/>
    <w:uiPriority w:val="99"/>
    <w:semiHidden/>
    <w:unhideWhenUsed/>
    <w:rsid w:val="00A32B2D"/>
    <w:rPr>
      <w:color w:val="800080" w:themeColor="followedHyperlink"/>
      <w:u w:val="single"/>
    </w:rPr>
  </w:style>
  <w:style w:type="character" w:customStyle="1" w:styleId="30">
    <w:name w:val="Заголовок 3 Знак"/>
    <w:basedOn w:val="a2"/>
    <w:link w:val="3"/>
    <w:uiPriority w:val="9"/>
    <w:rsid w:val="00881AF8"/>
    <w:rPr>
      <w:rFonts w:ascii="Arial" w:eastAsiaTheme="majorEastAsia" w:hAnsi="Arial" w:cstheme="majorBidi"/>
      <w:bCs/>
      <w:i/>
      <w:color w:val="007D32"/>
      <w:kern w:val="1"/>
      <w:sz w:val="24"/>
      <w:szCs w:val="24"/>
    </w:rPr>
  </w:style>
  <w:style w:type="paragraph" w:customStyle="1" w:styleId="aff6">
    <w:name w:val="Обычный зеленый"/>
    <w:basedOn w:val="a0"/>
    <w:link w:val="aff7"/>
    <w:qFormat/>
    <w:rsid w:val="006276F1"/>
    <w:rPr>
      <w:color w:val="007D32"/>
    </w:rPr>
  </w:style>
  <w:style w:type="character" w:customStyle="1" w:styleId="aff7">
    <w:name w:val="Обычный зеленый Знак"/>
    <w:basedOn w:val="a2"/>
    <w:link w:val="aff6"/>
    <w:rsid w:val="006276F1"/>
    <w:rPr>
      <w:rFonts w:ascii="Arial" w:eastAsia="DejaVu Sans" w:hAnsi="Arial" w:cs="Arial"/>
      <w:color w:val="007D32"/>
      <w:kern w:val="1"/>
      <w:sz w:val="24"/>
      <w:szCs w:val="24"/>
    </w:rPr>
  </w:style>
  <w:style w:type="paragraph" w:customStyle="1" w:styleId="aff8">
    <w:name w:val="Обычный курсив"/>
    <w:basedOn w:val="a0"/>
    <w:link w:val="aff9"/>
    <w:qFormat/>
    <w:rsid w:val="00881AF8"/>
    <w:rPr>
      <w:i/>
    </w:rPr>
  </w:style>
  <w:style w:type="character" w:customStyle="1" w:styleId="aff9">
    <w:name w:val="Обычный курсив Знак"/>
    <w:basedOn w:val="a2"/>
    <w:link w:val="aff8"/>
    <w:rsid w:val="00881AF8"/>
    <w:rPr>
      <w:rFonts w:ascii="Arial" w:eastAsia="DejaVu Sans" w:hAnsi="Arial" w:cs="Arial"/>
      <w:i/>
      <w:kern w:val="1"/>
      <w:sz w:val="24"/>
      <w:szCs w:val="24"/>
    </w:rPr>
  </w:style>
  <w:style w:type="character" w:customStyle="1" w:styleId="aa">
    <w:name w:val="Текст сноски Знак"/>
    <w:basedOn w:val="a2"/>
    <w:link w:val="a9"/>
    <w:semiHidden/>
    <w:rsid w:val="00CA162D"/>
    <w:rPr>
      <w:rFonts w:ascii="Arial" w:eastAsia="DejaVu Sans" w:hAnsi="Arial" w:cs="Arial"/>
      <w:kern w:val="1"/>
      <w:sz w:val="16"/>
    </w:rPr>
  </w:style>
  <w:style w:type="paragraph" w:customStyle="1" w:styleId="affa">
    <w:name w:val="Утечка"/>
    <w:basedOn w:val="a1"/>
    <w:link w:val="affb"/>
    <w:qFormat/>
    <w:rsid w:val="00435C87"/>
    <w:pPr>
      <w:ind w:left="709"/>
    </w:pPr>
    <w:rPr>
      <w:i/>
    </w:rPr>
  </w:style>
  <w:style w:type="character" w:customStyle="1" w:styleId="affb">
    <w:name w:val="Утечка Знак"/>
    <w:basedOn w:val="a7"/>
    <w:link w:val="affa"/>
    <w:rsid w:val="00435C87"/>
    <w:rPr>
      <w:rFonts w:ascii="Arial" w:eastAsia="DejaVu Sans" w:hAnsi="Arial" w:cs="Arial"/>
      <w:i/>
      <w:kern w:val="1"/>
      <w:sz w:val="24"/>
      <w:szCs w:val="24"/>
    </w:rPr>
  </w:style>
  <w:style w:type="character" w:customStyle="1" w:styleId="UnresolvedMention">
    <w:name w:val="Unresolved Mention"/>
    <w:basedOn w:val="a2"/>
    <w:uiPriority w:val="99"/>
    <w:semiHidden/>
    <w:unhideWhenUsed/>
    <w:rsid w:val="00AE48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78498">
          <w:marLeft w:val="0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43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2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12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7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1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7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06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41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966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64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40339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7305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166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26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558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9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39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80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1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598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873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145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245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334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2818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79767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6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1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59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8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13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30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59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23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84262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8041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52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79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319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2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1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8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8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9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604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931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385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973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606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4.xml"/><Relationship Id="rId18" Type="http://schemas.openxmlformats.org/officeDocument/2006/relationships/chart" Target="charts/chart7.xml"/><Relationship Id="rId26" Type="http://schemas.openxmlformats.org/officeDocument/2006/relationships/chart" Target="charts/chart13.xml"/><Relationship Id="rId39" Type="http://schemas.openxmlformats.org/officeDocument/2006/relationships/hyperlink" Target="http://www.infowatch.ru/analytics/panels?utm_source=report&amp;utm_medium=info&amp;utm_campaign=analitics" TargetMode="External"/><Relationship Id="rId21" Type="http://schemas.openxmlformats.org/officeDocument/2006/relationships/chart" Target="charts/chart10.xml"/><Relationship Id="rId34" Type="http://schemas.openxmlformats.org/officeDocument/2006/relationships/hyperlink" Target="https://www.infowatch.ru/analytics/leaks_monitoring/17707" TargetMode="External"/><Relationship Id="rId42" Type="http://schemas.openxmlformats.org/officeDocument/2006/relationships/image" Target="media/image3.png"/><Relationship Id="rId47" Type="http://schemas.openxmlformats.org/officeDocument/2006/relationships/image" Target="media/image4.gif"/><Relationship Id="rId50" Type="http://schemas.openxmlformats.org/officeDocument/2006/relationships/footer" Target="footer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s://www.khaleejtimes.com/news/crime/bank-employee-causes-client-to-lose-dh11-million" TargetMode="External"/><Relationship Id="rId29" Type="http://schemas.openxmlformats.org/officeDocument/2006/relationships/chart" Target="charts/chart15.xml"/><Relationship Id="rId11" Type="http://schemas.openxmlformats.org/officeDocument/2006/relationships/chart" Target="charts/chart2.xml"/><Relationship Id="rId24" Type="http://schemas.openxmlformats.org/officeDocument/2006/relationships/chart" Target="charts/chart11.xml"/><Relationship Id="rId32" Type="http://schemas.openxmlformats.org/officeDocument/2006/relationships/chart" Target="charts/chart17.xml"/><Relationship Id="rId37" Type="http://schemas.openxmlformats.org/officeDocument/2006/relationships/hyperlink" Target="https://ehrintelligence.com/news/us-court-cuts-tcs-fine-from-940m-to-420m-in-epic-lawsuit" TargetMode="External"/><Relationship Id="rId40" Type="http://schemas.openxmlformats.org/officeDocument/2006/relationships/image" Target="media/image1.png"/><Relationship Id="rId45" Type="http://schemas.openxmlformats.org/officeDocument/2006/relationships/hyperlink" Target="https://twitter.com/InfoWatchNews" TargetMode="External"/><Relationship Id="rId53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chart" Target="charts/chart1.xml"/><Relationship Id="rId19" Type="http://schemas.openxmlformats.org/officeDocument/2006/relationships/chart" Target="charts/chart8.xml"/><Relationship Id="rId31" Type="http://schemas.openxmlformats.org/officeDocument/2006/relationships/chart" Target="charts/chart16.xml"/><Relationship Id="rId44" Type="http://schemas.openxmlformats.org/officeDocument/2006/relationships/hyperlink" Target="https://www.facebook.com/InfoWatch" TargetMode="External"/><Relationship Id="rId52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yperlink" Target="https://www.infowatch.ru/sites/default/files/report/analytics/russ/InfoWatch_Global_Report_2017_year.pdf?rel=1" TargetMode="External"/><Relationship Id="rId14" Type="http://schemas.openxmlformats.org/officeDocument/2006/relationships/hyperlink" Target="http://calgaryherald.com/news/local-news/class-action-lawsuit-claims-city-leaked-personal-information-of-3700-employees" TargetMode="External"/><Relationship Id="rId22" Type="http://schemas.openxmlformats.org/officeDocument/2006/relationships/hyperlink" Target="http://www.sixthtone.com/news/1000988/millions-of-citizens-data-sold-online-in-hangzhou%2C-police-find" TargetMode="External"/><Relationship Id="rId27" Type="http://schemas.openxmlformats.org/officeDocument/2006/relationships/chart" Target="charts/chart14.xml"/><Relationship Id="rId30" Type="http://schemas.openxmlformats.org/officeDocument/2006/relationships/hyperlink" Target="https://www.mercurynews.com/2018/01/05/bay-area-life-insurance-agents-sentenced-in-identity-theft-scheme/" TargetMode="External"/><Relationship Id="rId35" Type="http://schemas.openxmlformats.org/officeDocument/2006/relationships/hyperlink" Target="https://www.cbsnews.com/news/alleged-nsa-leaker-told-fbi-she-stuffed-documents-in-her-pantyhose-feds-say/" TargetMode="External"/><Relationship Id="rId43" Type="http://schemas.openxmlformats.org/officeDocument/2006/relationships/hyperlink" Target="http://www.infowatch.ru/subscrybe" TargetMode="External"/><Relationship Id="rId48" Type="http://schemas.openxmlformats.org/officeDocument/2006/relationships/hyperlink" Target="http://www.infowatch.ru/analytics?utm_source=report&amp;utm_medium=info&amp;utm_campaign=analitics" TargetMode="External"/><Relationship Id="rId8" Type="http://schemas.openxmlformats.org/officeDocument/2006/relationships/endnotes" Target="endnotes.xml"/><Relationship Id="rId51" Type="http://schemas.openxmlformats.org/officeDocument/2006/relationships/header" Target="header2.xml"/><Relationship Id="rId3" Type="http://schemas.openxmlformats.org/officeDocument/2006/relationships/styles" Target="styles.xml"/><Relationship Id="rId12" Type="http://schemas.openxmlformats.org/officeDocument/2006/relationships/chart" Target="charts/chart3.xml"/><Relationship Id="rId17" Type="http://schemas.openxmlformats.org/officeDocument/2006/relationships/chart" Target="charts/chart6.xml"/><Relationship Id="rId25" Type="http://schemas.openxmlformats.org/officeDocument/2006/relationships/chart" Target="charts/chart12.xml"/><Relationship Id="rId33" Type="http://schemas.openxmlformats.org/officeDocument/2006/relationships/chart" Target="charts/chart18.xml"/><Relationship Id="rId38" Type="http://schemas.openxmlformats.org/officeDocument/2006/relationships/hyperlink" Target="http://www.infowatch.ru/analytics?utm_source=report&amp;utm_medium=info&amp;utm_campaign=analitics" TargetMode="External"/><Relationship Id="rId46" Type="http://schemas.openxmlformats.org/officeDocument/2006/relationships/hyperlink" Target="http://www.infowatch.ru/taxonomy/term/3/feed" TargetMode="External"/><Relationship Id="rId20" Type="http://schemas.openxmlformats.org/officeDocument/2006/relationships/chart" Target="charts/chart9.xml"/><Relationship Id="rId41" Type="http://schemas.openxmlformats.org/officeDocument/2006/relationships/image" Target="media/image2.png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chart" Target="charts/chart5.xml"/><Relationship Id="rId23" Type="http://schemas.openxmlformats.org/officeDocument/2006/relationships/hyperlink" Target="https://www.standard.co.uk/news/london/islington-council-faces-huge-fine-after-massive-data-breach-hit-90000-people-a3613981.html" TargetMode="External"/><Relationship Id="rId28" Type="http://schemas.openxmlformats.org/officeDocument/2006/relationships/hyperlink" Target="http://www.straitstimes.com/singapore/courts-crime/lawyer-faces-fine-for-leaking-client-data-to-lover" TargetMode="External"/><Relationship Id="rId36" Type="http://schemas.openxmlformats.org/officeDocument/2006/relationships/chart" Target="charts/chart19.xml"/><Relationship Id="rId4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3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4.xlsx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5.xlsx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6.xlsx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7.xlsx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8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Число утечек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0-DA52-4D08-AB41-FDBF16C77500}"/>
              </c:ext>
            </c:extLst>
          </c:dPt>
          <c:dPt>
            <c:idx val="1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1-DA52-4D08-AB41-FDBF16C77500}"/>
              </c:ext>
            </c:extLst>
          </c:dPt>
          <c:dPt>
            <c:idx val="2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2-DA52-4D08-AB41-FDBF16C77500}"/>
              </c:ext>
            </c:extLst>
          </c:dPt>
          <c:dPt>
            <c:idx val="3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3-DA52-4D08-AB41-FDBF16C77500}"/>
              </c:ext>
            </c:extLst>
          </c:dPt>
          <c:dPt>
            <c:idx val="4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4-DA52-4D08-AB41-FDBF16C77500}"/>
              </c:ext>
            </c:extLst>
          </c:dPt>
          <c:dPt>
            <c:idx val="5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5-DA52-4D08-AB41-FDBF16C77500}"/>
              </c:ext>
            </c:extLst>
          </c:dPt>
          <c:dPt>
            <c:idx val="6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6-DA52-4D08-AB41-FDBF16C77500}"/>
              </c:ext>
            </c:extLst>
          </c:dPt>
          <c:dPt>
            <c:idx val="7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7-DA52-4D08-AB41-FDBF16C77500}"/>
              </c:ext>
            </c:extLst>
          </c:dPt>
          <c:dPt>
            <c:idx val="8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8-DA52-4D08-AB41-FDBF16C77500}"/>
              </c:ext>
            </c:extLst>
          </c:dPt>
          <c:dPt>
            <c:idx val="9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9-DA52-4D08-AB41-FDBF16C77500}"/>
              </c:ext>
            </c:extLst>
          </c:dPt>
          <c:cat>
            <c:numRef>
              <c:f>Лист1!$A$2:$A$15</c:f>
              <c:numCache>
                <c:formatCode>General</c:formatCode>
                <c:ptCount val="14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2013</c:v>
                </c:pt>
                <c:pt idx="10">
                  <c:v>2014</c:v>
                </c:pt>
                <c:pt idx="11">
                  <c:v>2015</c:v>
                </c:pt>
                <c:pt idx="12">
                  <c:v>2016</c:v>
                </c:pt>
                <c:pt idx="13">
                  <c:v>2017</c:v>
                </c:pt>
              </c:numCache>
            </c:numRef>
          </c:cat>
          <c:val>
            <c:numRef>
              <c:f>Лист1!$B$2:$B$15</c:f>
              <c:numCache>
                <c:formatCode>General</c:formatCode>
                <c:ptCount val="14"/>
                <c:pt idx="0">
                  <c:v>97</c:v>
                </c:pt>
                <c:pt idx="1">
                  <c:v>153</c:v>
                </c:pt>
                <c:pt idx="2">
                  <c:v>198</c:v>
                </c:pt>
                <c:pt idx="3">
                  <c:v>333</c:v>
                </c:pt>
                <c:pt idx="4">
                  <c:v>530</c:v>
                </c:pt>
                <c:pt idx="5">
                  <c:v>747</c:v>
                </c:pt>
                <c:pt idx="6">
                  <c:v>794</c:v>
                </c:pt>
                <c:pt idx="7">
                  <c:v>801</c:v>
                </c:pt>
                <c:pt idx="8">
                  <c:v>934</c:v>
                </c:pt>
                <c:pt idx="9">
                  <c:v>1143</c:v>
                </c:pt>
                <c:pt idx="10">
                  <c:v>1016</c:v>
                </c:pt>
                <c:pt idx="11">
                  <c:v>984</c:v>
                </c:pt>
                <c:pt idx="12">
                  <c:v>873</c:v>
                </c:pt>
                <c:pt idx="13">
                  <c:v>1228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DA52-4D08-AB41-FDBF16C7750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34481408"/>
        <c:axId val="151976128"/>
        <c:extLst xmlns:c16r2="http://schemas.microsoft.com/office/drawing/2015/06/chart">
          <c:ext xmlns:c15="http://schemas.microsoft.com/office/drawing/2012/chart" uri="{02D57815-91ED-43cb-92C2-25804820EDAC}">
            <c15:filteredBarSeries>
              <c15:ser>
                <c:idx val="1"/>
                <c:order val="1"/>
                <c:tx>
                  <c:strRef>
                    <c:extLst>
                      <c:ext uri="{02D57815-91ED-43cb-92C2-25804820EDAC}">
                        <c15:formulaRef>
                          <c15:sqref>Лист1!$C$1</c15:sqref>
                        </c15:formulaRef>
                      </c:ext>
                    </c:extLst>
                    <c:strCache>
                      <c:ptCount val="1"/>
                      <c:pt idx="0">
                        <c:v>Столбец1</c:v>
                      </c:pt>
                    </c:strCache>
                  </c:strRef>
                </c:tx>
                <c:spPr>
                  <a:solidFill>
                    <a:schemeClr val="accent2"/>
                  </a:solidFill>
                  <a:ln>
                    <a:noFill/>
                  </a:ln>
                  <a:effectLst/>
                </c:spPr>
                <c:invertIfNegative val="0"/>
                <c:cat>
                  <c:numRef>
                    <c:extLst>
                      <c:ext uri="{02D57815-91ED-43cb-92C2-25804820EDAC}">
                        <c15:formulaRef>
                          <c15:sqref>Лист1!$A$2:$A$15</c15:sqref>
                        </c15:formulaRef>
                      </c:ext>
                    </c:extLst>
                    <c:numCache>
                      <c:formatCode>General</c:formatCode>
                      <c:ptCount val="14"/>
                      <c:pt idx="0">
                        <c:v>2004</c:v>
                      </c:pt>
                      <c:pt idx="1">
                        <c:v>2005</c:v>
                      </c:pt>
                      <c:pt idx="2">
                        <c:v>2006</c:v>
                      </c:pt>
                      <c:pt idx="3">
                        <c:v>2007</c:v>
                      </c:pt>
                      <c:pt idx="4">
                        <c:v>2008</c:v>
                      </c:pt>
                      <c:pt idx="5">
                        <c:v>2009</c:v>
                      </c:pt>
                      <c:pt idx="6">
                        <c:v>2010</c:v>
                      </c:pt>
                      <c:pt idx="7">
                        <c:v>2011</c:v>
                      </c:pt>
                      <c:pt idx="8">
                        <c:v>2012</c:v>
                      </c:pt>
                      <c:pt idx="9">
                        <c:v>2013</c:v>
                      </c:pt>
                      <c:pt idx="10">
                        <c:v>2014</c:v>
                      </c:pt>
                      <c:pt idx="11">
                        <c:v>2015</c:v>
                      </c:pt>
                      <c:pt idx="12">
                        <c:v>2016</c:v>
                      </c:pt>
                      <c:pt idx="13">
                        <c:v>2017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Лист1!$C$2:$C$15</c15:sqref>
                        </c15:formulaRef>
                      </c:ext>
                    </c:extLst>
                    <c:numCache>
                      <c:formatCode>General</c:formatCode>
                      <c:ptCount val="14"/>
                      <c:pt idx="0">
                        <c:v>97</c:v>
                      </c:pt>
                      <c:pt idx="1">
                        <c:v>153</c:v>
                      </c:pt>
                      <c:pt idx="2">
                        <c:v>198</c:v>
                      </c:pt>
                      <c:pt idx="3">
                        <c:v>333</c:v>
                      </c:pt>
                      <c:pt idx="4">
                        <c:v>530</c:v>
                      </c:pt>
                      <c:pt idx="5">
                        <c:v>747</c:v>
                      </c:pt>
                      <c:pt idx="6">
                        <c:v>794</c:v>
                      </c:pt>
                      <c:pt idx="7">
                        <c:v>801</c:v>
                      </c:pt>
                      <c:pt idx="8">
                        <c:v>934</c:v>
                      </c:pt>
                      <c:pt idx="9">
                        <c:v>1143</c:v>
                      </c:pt>
                      <c:pt idx="10">
                        <c:v>1016</c:v>
                      </c:pt>
                      <c:pt idx="11">
                        <c:v>984</c:v>
                      </c:pt>
                      <c:pt idx="12">
                        <c:v>873</c:v>
                      </c:pt>
                      <c:pt idx="13">
                        <c:v>1228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A-2F4F-4F37-9031-C12DCBAF4408}"/>
                  </c:ext>
                </c:extLst>
              </c15:ser>
            </c15:filteredBarSeries>
          </c:ext>
        </c:extLst>
      </c:barChart>
      <c:catAx>
        <c:axId val="1344814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1976128"/>
        <c:crosses val="autoZero"/>
        <c:auto val="1"/>
        <c:lblAlgn val="ctr"/>
        <c:lblOffset val="100"/>
        <c:noMultiLvlLbl val="0"/>
      </c:catAx>
      <c:valAx>
        <c:axId val="15197612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448140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967437596312016E-2"/>
          <c:y val="3.2753326509723645E-2"/>
          <c:w val="0.9133240570362231"/>
          <c:h val="0.4206372013717263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Банки и финансы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0-B9B0-4188-B651-7745A95B4527}"/>
              </c:ext>
            </c:extLst>
          </c:dPt>
          <c:dPt>
            <c:idx val="1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1-B9B0-4188-B651-7745A95B4527}"/>
              </c:ext>
            </c:extLst>
          </c:dPt>
          <c:dPt>
            <c:idx val="2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2-B9B0-4188-B651-7745A95B4527}"/>
              </c:ext>
            </c:extLst>
          </c:dPt>
          <c:dPt>
            <c:idx val="3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3-B9B0-4188-B651-7745A95B4527}"/>
              </c:ext>
            </c:extLst>
          </c:dPt>
          <c:dPt>
            <c:idx val="4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4-B9B0-4188-B651-7745A95B4527}"/>
              </c:ext>
            </c:extLst>
          </c:dPt>
          <c:dPt>
            <c:idx val="5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5-B9B0-4188-B651-7745A95B4527}"/>
              </c:ext>
            </c:extLst>
          </c:dPt>
          <c:dPt>
            <c:idx val="6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6-B9B0-4188-B651-7745A95B4527}"/>
              </c:ext>
            </c:extLst>
          </c:dPt>
          <c:dPt>
            <c:idx val="7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7-B9B0-4188-B651-7745A95B4527}"/>
              </c:ext>
            </c:extLst>
          </c:dPt>
          <c:dPt>
            <c:idx val="8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8-B9B0-4188-B651-7745A95B4527}"/>
              </c:ext>
            </c:extLst>
          </c:dPt>
          <c:dPt>
            <c:idx val="9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9-B9B0-4188-B651-7745A95B4527}"/>
              </c:ext>
            </c:extLst>
          </c:dPt>
          <c:dPt>
            <c:idx val="10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B-B9B0-4188-B651-7745A95B4527}"/>
              </c:ext>
            </c:extLst>
          </c:dPt>
          <c:dLbls>
            <c:numFmt formatCode="General" sourceLinked="0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25</c:v>
                </c:pt>
                <c:pt idx="1">
                  <c:v>47</c:v>
                </c:pt>
                <c:pt idx="2">
                  <c:v>21</c:v>
                </c:pt>
                <c:pt idx="3">
                  <c:v>27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B9B0-4188-B651-7745A95B452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Медицина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numFmt formatCode="General" sourceLinked="0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227</c:v>
                </c:pt>
                <c:pt idx="1">
                  <c:v>201</c:v>
                </c:pt>
                <c:pt idx="2">
                  <c:v>123</c:v>
                </c:pt>
                <c:pt idx="3">
                  <c:v>146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D-B9B0-4188-B651-7745A95B452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Торговля, HoReCa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22</c:v>
                </c:pt>
                <c:pt idx="1">
                  <c:v>24</c:v>
                </c:pt>
                <c:pt idx="2">
                  <c:v>15</c:v>
                </c:pt>
                <c:pt idx="3">
                  <c:v>34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E-B9B0-4188-B651-7745A95B4527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ИТ и телекоммуникации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numFmt formatCode="General" sourceLinked="0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</c:numCache>
            </c:num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21</c:v>
                </c:pt>
                <c:pt idx="1">
                  <c:v>44</c:v>
                </c:pt>
                <c:pt idx="2">
                  <c:v>31</c:v>
                </c:pt>
                <c:pt idx="3">
                  <c:v>62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F-B9B0-4188-B651-7745A95B4527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Промышленность и транспорт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numFmt formatCode="General" sourceLinked="0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</c:numCache>
            </c:numRef>
          </c:cat>
          <c:val>
            <c:numRef>
              <c:f>Лист1!$F$2:$F$5</c:f>
              <c:numCache>
                <c:formatCode>General</c:formatCode>
                <c:ptCount val="4"/>
                <c:pt idx="0">
                  <c:v>16</c:v>
                </c:pt>
                <c:pt idx="1">
                  <c:v>21</c:v>
                </c:pt>
                <c:pt idx="2">
                  <c:v>16</c:v>
                </c:pt>
                <c:pt idx="3">
                  <c:v>19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0-B9B0-4188-B651-7745A95B4527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Госорганы и силовые структуры</c:v>
                </c:pt>
              </c:strCache>
            </c:strRef>
          </c:tx>
          <c:invertIfNegative val="0"/>
          <c:dLbls>
            <c:numFmt formatCode="General" sourceLinked="0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</c:numCache>
            </c:numRef>
          </c:cat>
          <c:val>
            <c:numRef>
              <c:f>Лист1!$G$2:$G$5</c:f>
              <c:numCache>
                <c:formatCode>General</c:formatCode>
                <c:ptCount val="4"/>
                <c:pt idx="0">
                  <c:v>102</c:v>
                </c:pt>
                <c:pt idx="1">
                  <c:v>129</c:v>
                </c:pt>
                <c:pt idx="2">
                  <c:v>55</c:v>
                </c:pt>
                <c:pt idx="3">
                  <c:v>88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Образование</c:v>
                </c:pt>
              </c:strCache>
            </c:strRef>
          </c:tx>
          <c:invertIfNegative val="0"/>
          <c:dLbls>
            <c:numFmt formatCode="General" sourceLinked="0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</c:numCache>
            </c:numRef>
          </c:cat>
          <c:val>
            <c:numRef>
              <c:f>Лист1!$H$2:$H$5</c:f>
              <c:numCache>
                <c:formatCode>General</c:formatCode>
                <c:ptCount val="4"/>
                <c:pt idx="0">
                  <c:v>128</c:v>
                </c:pt>
                <c:pt idx="1">
                  <c:v>109</c:v>
                </c:pt>
                <c:pt idx="2">
                  <c:v>62</c:v>
                </c:pt>
                <c:pt idx="3">
                  <c:v>68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Муниципальные учреждения</c:v>
                </c:pt>
              </c:strCache>
            </c:strRef>
          </c:tx>
          <c:invertIfNegative val="0"/>
          <c:dLbls>
            <c:numFmt formatCode="General" sourceLinked="0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</c:numCache>
            </c:numRef>
          </c:cat>
          <c:val>
            <c:numRef>
              <c:f>Лист1!$I$2:$I$5</c:f>
              <c:numCache>
                <c:formatCode>General</c:formatCode>
                <c:ptCount val="4"/>
                <c:pt idx="0">
                  <c:v>26</c:v>
                </c:pt>
                <c:pt idx="1">
                  <c:v>13</c:v>
                </c:pt>
                <c:pt idx="2">
                  <c:v>13</c:v>
                </c:pt>
                <c:pt idx="3">
                  <c:v>61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5234816"/>
        <c:axId val="152491648"/>
      </c:barChart>
      <c:catAx>
        <c:axId val="1552348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2491648"/>
        <c:crosses val="autoZero"/>
        <c:auto val="1"/>
        <c:lblAlgn val="ctr"/>
        <c:lblOffset val="100"/>
        <c:noMultiLvlLbl val="0"/>
      </c:catAx>
      <c:valAx>
        <c:axId val="15249164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52348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967437596312016E-2"/>
          <c:y val="3.2753326509723645E-2"/>
          <c:w val="0.9133240570362231"/>
          <c:h val="0.4220400658192620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Банки и финансы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0-D123-4B4B-A9BD-458EF2DFC161}"/>
              </c:ext>
            </c:extLst>
          </c:dPt>
          <c:dPt>
            <c:idx val="1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1-D123-4B4B-A9BD-458EF2DFC161}"/>
              </c:ext>
            </c:extLst>
          </c:dPt>
          <c:dPt>
            <c:idx val="2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2-D123-4B4B-A9BD-458EF2DFC161}"/>
              </c:ext>
            </c:extLst>
          </c:dPt>
          <c:dPt>
            <c:idx val="3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3-D123-4B4B-A9BD-458EF2DFC161}"/>
              </c:ext>
            </c:extLst>
          </c:dPt>
          <c:dPt>
            <c:idx val="4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4-D123-4B4B-A9BD-458EF2DFC161}"/>
              </c:ext>
            </c:extLst>
          </c:dPt>
          <c:dPt>
            <c:idx val="5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5-D123-4B4B-A9BD-458EF2DFC161}"/>
              </c:ext>
            </c:extLst>
          </c:dPt>
          <c:dPt>
            <c:idx val="6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6-D123-4B4B-A9BD-458EF2DFC161}"/>
              </c:ext>
            </c:extLst>
          </c:dPt>
          <c:dPt>
            <c:idx val="7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7-D123-4B4B-A9BD-458EF2DFC161}"/>
              </c:ext>
            </c:extLst>
          </c:dPt>
          <c:dPt>
            <c:idx val="8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8-D123-4B4B-A9BD-458EF2DFC161}"/>
              </c:ext>
            </c:extLst>
          </c:dPt>
          <c:dPt>
            <c:idx val="9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9-D123-4B4B-A9BD-458EF2DFC161}"/>
              </c:ext>
            </c:extLst>
          </c:dPt>
          <c:dPt>
            <c:idx val="10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B-D123-4B4B-A9BD-458EF2DFC161}"/>
              </c:ext>
            </c:extLst>
          </c:dPt>
          <c:cat>
            <c:numRef>
              <c:f>Лист1!$A$2:$A$6</c:f>
              <c:numCache>
                <c:formatCode>General</c:formatCode>
                <c:ptCount val="5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4</c:v>
                </c:pt>
                <c:pt idx="2">
                  <c:v>0</c:v>
                </c:pt>
                <c:pt idx="3">
                  <c:v>4</c:v>
                </c:pt>
                <c:pt idx="4">
                  <c:v>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D123-4B4B-A9BD-458EF2DFC16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Медицина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Лист1!$A$2:$A$6</c:f>
              <c:numCache>
                <c:formatCode>General</c:formatCode>
                <c:ptCount val="5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</c:numCache>
            </c:num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</c:v>
                </c:pt>
                <c:pt idx="1">
                  <c:v>1</c:v>
                </c:pt>
                <c:pt idx="2">
                  <c:v>0</c:v>
                </c:pt>
                <c:pt idx="3">
                  <c:v>1</c:v>
                </c:pt>
                <c:pt idx="4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D-D123-4B4B-A9BD-458EF2DFC16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Торговля, HoReCa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Лист1!$A$2:$A$6</c:f>
              <c:numCache>
                <c:formatCode>General</c:formatCode>
                <c:ptCount val="5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</c:numCache>
            </c:num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3</c:v>
                </c:pt>
                <c:pt idx="4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E-D123-4B4B-A9BD-458EF2DFC161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ИТ и телекоммуникации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numRef>
              <c:f>Лист1!$A$2:$A$6</c:f>
              <c:numCache>
                <c:formatCode>General</c:formatCode>
                <c:ptCount val="5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</c:numCache>
            </c:num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0</c:v>
                </c:pt>
                <c:pt idx="1">
                  <c:v>2</c:v>
                </c:pt>
                <c:pt idx="2">
                  <c:v>3</c:v>
                </c:pt>
                <c:pt idx="3">
                  <c:v>8</c:v>
                </c:pt>
                <c:pt idx="4">
                  <c:v>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F-D123-4B4B-A9BD-458EF2DFC161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Промышленность и транспорт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numRef>
              <c:f>Лист1!$A$2:$A$6</c:f>
              <c:numCache>
                <c:formatCode>General</c:formatCode>
                <c:ptCount val="5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</c:numCache>
            </c:numRef>
          </c:cat>
          <c:val>
            <c:numRef>
              <c:f>Лист1!$F$2:$F$6</c:f>
              <c:numCache>
                <c:formatCode>General</c:formatCode>
                <c:ptCount val="5"/>
                <c:pt idx="0">
                  <c:v>1</c:v>
                </c:pt>
                <c:pt idx="1">
                  <c:v>4</c:v>
                </c:pt>
                <c:pt idx="2">
                  <c:v>4</c:v>
                </c:pt>
                <c:pt idx="3">
                  <c:v>4</c:v>
                </c:pt>
                <c:pt idx="4">
                  <c:v>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0-D123-4B4B-A9BD-458EF2DFC161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Госорганы и силовые структуры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numRef>
              <c:f>Лист1!$A$2:$A$6</c:f>
              <c:numCache>
                <c:formatCode>General</c:formatCode>
                <c:ptCount val="5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</c:numCache>
            </c:numRef>
          </c:cat>
          <c:val>
            <c:numRef>
              <c:f>Лист1!$G$2:$G$6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8</c:v>
                </c:pt>
                <c:pt idx="4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1-D123-4B4B-A9BD-458EF2DFC161}"/>
            </c:ext>
          </c:extLst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Образование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numRef>
              <c:f>Лист1!$A$2:$A$6</c:f>
              <c:numCache>
                <c:formatCode>General</c:formatCode>
                <c:ptCount val="5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</c:numCache>
            </c:numRef>
          </c:cat>
          <c:val>
            <c:numRef>
              <c:f>Лист1!$H$2:$H$6</c:f>
              <c:numCache>
                <c:formatCode>General</c:formatCode>
                <c:ptCount val="5"/>
                <c:pt idx="0">
                  <c:v>0</c:v>
                </c:pt>
                <c:pt idx="1">
                  <c:v>2</c:v>
                </c:pt>
                <c:pt idx="2">
                  <c:v>0</c:v>
                </c:pt>
                <c:pt idx="3">
                  <c:v>0</c:v>
                </c:pt>
                <c:pt idx="4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2-D123-4B4B-A9BD-458EF2DFC161}"/>
            </c:ext>
          </c:extLst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Муниципальные учреждения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numRef>
              <c:f>Лист1!$A$2:$A$6</c:f>
              <c:numCache>
                <c:formatCode>General</c:formatCode>
                <c:ptCount val="5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</c:numCache>
            </c:numRef>
          </c:cat>
          <c:val>
            <c:numRef>
              <c:f>Лист1!$I$2:$I$6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2</c:v>
                </c:pt>
                <c:pt idx="4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3-D123-4B4B-A9BD-458EF2DFC16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5235840"/>
        <c:axId val="152493376"/>
      </c:barChart>
      <c:catAx>
        <c:axId val="1552358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2493376"/>
        <c:crosses val="autoZero"/>
        <c:auto val="1"/>
        <c:lblAlgn val="ctr"/>
        <c:lblOffset val="100"/>
        <c:noMultiLvlLbl val="0"/>
      </c:catAx>
      <c:valAx>
        <c:axId val="15249337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52358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967437596312016E-2"/>
          <c:y val="4.6561206479510883E-2"/>
          <c:w val="0.9133240570362231"/>
          <c:h val="0.9534389781402660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Сотрудник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0-8846-4D05-9356-A2D99017E9C4}"/>
              </c:ext>
            </c:extLst>
          </c:dPt>
          <c:dPt>
            <c:idx val="1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1-8846-4D05-9356-A2D99017E9C4}"/>
              </c:ext>
            </c:extLst>
          </c:dPt>
          <c:dPt>
            <c:idx val="2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2-8846-4D05-9356-A2D99017E9C4}"/>
              </c:ext>
            </c:extLst>
          </c:dPt>
          <c:dPt>
            <c:idx val="3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3-8846-4D05-9356-A2D99017E9C4}"/>
              </c:ext>
            </c:extLst>
          </c:dPt>
          <c:dPt>
            <c:idx val="4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4-8846-4D05-9356-A2D99017E9C4}"/>
              </c:ext>
            </c:extLst>
          </c:dPt>
          <c:dPt>
            <c:idx val="5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5-8846-4D05-9356-A2D99017E9C4}"/>
              </c:ext>
            </c:extLst>
          </c:dPt>
          <c:dPt>
            <c:idx val="6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6-8846-4D05-9356-A2D99017E9C4}"/>
              </c:ext>
            </c:extLst>
          </c:dPt>
          <c:dPt>
            <c:idx val="7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7-8846-4D05-9356-A2D99017E9C4}"/>
              </c:ext>
            </c:extLst>
          </c:dPt>
          <c:dPt>
            <c:idx val="8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8-8846-4D05-9356-A2D99017E9C4}"/>
              </c:ext>
            </c:extLst>
          </c:dPt>
          <c:dPt>
            <c:idx val="9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9-8846-4D05-9356-A2D99017E9C4}"/>
              </c:ext>
            </c:extLst>
          </c:dPt>
          <c:dPt>
            <c:idx val="10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A-8846-4D05-9356-A2D99017E9C4}"/>
              </c:ext>
            </c:extLst>
          </c:dPt>
          <c:dLbls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0.58041958000000005</c:v>
                </c:pt>
                <c:pt idx="1">
                  <c:v>0.89768574899999998</c:v>
                </c:pt>
                <c:pt idx="2">
                  <c:v>0.94616977199999996</c:v>
                </c:pt>
                <c:pt idx="3">
                  <c:v>0.76091953999999995</c:v>
                </c:pt>
                <c:pt idx="4">
                  <c:v>0.86339285700000001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B-8846-4D05-9356-A2D99017E9C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Бывший сотрудник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Лист1!$A$2:$A$6</c:f>
              <c:numCache>
                <c:formatCode>General</c:formatCode>
                <c:ptCount val="5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</c:numCache>
            </c:num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5.4545455E-2</c:v>
                </c:pt>
                <c:pt idx="1">
                  <c:v>1.4616321999999999E-2</c:v>
                </c:pt>
                <c:pt idx="2">
                  <c:v>1.242236E-2</c:v>
                </c:pt>
                <c:pt idx="3">
                  <c:v>4.5977010999999998E-2</c:v>
                </c:pt>
                <c:pt idx="4">
                  <c:v>4.1071429E-2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8846-4D05-9356-A2D99017E9C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Руководитель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Лист1!$A$2:$A$6</c:f>
              <c:numCache>
                <c:formatCode>General</c:formatCode>
                <c:ptCount val="5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</c:numCache>
            </c:num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7.8321678000000006E-2</c:v>
                </c:pt>
                <c:pt idx="1">
                  <c:v>2.5578562999999999E-2</c:v>
                </c:pt>
                <c:pt idx="2">
                  <c:v>1.242236E-2</c:v>
                </c:pt>
                <c:pt idx="3">
                  <c:v>4.8275862000000003E-2</c:v>
                </c:pt>
                <c:pt idx="4">
                  <c:v>3.8392857000000002E-2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D-8846-4D05-9356-A2D99017E9C4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Системный администратор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numRef>
              <c:f>Лист1!$A$2:$A$6</c:f>
              <c:numCache>
                <c:formatCode>General</c:formatCode>
                <c:ptCount val="5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</c:numCache>
            </c:num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1.2587413E-2</c:v>
                </c:pt>
                <c:pt idx="1">
                  <c:v>6.0901339999999997E-3</c:v>
                </c:pt>
                <c:pt idx="2">
                  <c:v>2.0703929999999998E-3</c:v>
                </c:pt>
                <c:pt idx="3">
                  <c:v>9.1954020000000001E-3</c:v>
                </c:pt>
                <c:pt idx="4">
                  <c:v>1.9642857E-2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E-8846-4D05-9356-A2D99017E9C4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Контрагент/подрядчик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</c:numCache>
            </c:numRef>
          </c:cat>
          <c:val>
            <c:numRef>
              <c:f>Лист1!$F$2:$F$6</c:f>
              <c:numCache>
                <c:formatCode>General</c:formatCode>
                <c:ptCount val="5"/>
                <c:pt idx="0">
                  <c:v>0.27412587399999999</c:v>
                </c:pt>
                <c:pt idx="1">
                  <c:v>5.6029232999999998E-2</c:v>
                </c:pt>
                <c:pt idx="2">
                  <c:v>2.6915114E-2</c:v>
                </c:pt>
                <c:pt idx="3">
                  <c:v>0.13563218399999999</c:v>
                </c:pt>
                <c:pt idx="4">
                  <c:v>3.7499999999999999E-2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F-8846-4D05-9356-A2D99017E9C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0218240"/>
        <c:axId val="150144704"/>
      </c:barChart>
      <c:catAx>
        <c:axId val="150218240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50144704"/>
        <c:crosses val="autoZero"/>
        <c:auto val="1"/>
        <c:lblAlgn val="ctr"/>
        <c:lblOffset val="100"/>
        <c:noMultiLvlLbl val="0"/>
      </c:catAx>
      <c:valAx>
        <c:axId val="150144704"/>
        <c:scaling>
          <c:orientation val="minMax"/>
          <c:min val="0.25"/>
        </c:scaling>
        <c:delete val="1"/>
        <c:axPos val="l"/>
        <c:numFmt formatCode="General" sourceLinked="1"/>
        <c:majorTickMark val="out"/>
        <c:minorTickMark val="none"/>
        <c:tickLblPos val="nextTo"/>
        <c:crossAx val="1502182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967437596312016E-2"/>
          <c:y val="0"/>
          <c:w val="0.9133240570362231"/>
          <c:h val="0.7184189742239666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Сотрудник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0-AA8C-4542-8B90-9384433C281D}"/>
              </c:ext>
            </c:extLst>
          </c:dPt>
          <c:dPt>
            <c:idx val="1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1-AA8C-4542-8B90-9384433C281D}"/>
              </c:ext>
            </c:extLst>
          </c:dPt>
          <c:dPt>
            <c:idx val="2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2-AA8C-4542-8B90-9384433C281D}"/>
              </c:ext>
            </c:extLst>
          </c:dPt>
          <c:dPt>
            <c:idx val="3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3-AA8C-4542-8B90-9384433C281D}"/>
              </c:ext>
            </c:extLst>
          </c:dPt>
          <c:dPt>
            <c:idx val="4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4-AA8C-4542-8B90-9384433C281D}"/>
              </c:ext>
            </c:extLst>
          </c:dPt>
          <c:dPt>
            <c:idx val="5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5-AA8C-4542-8B90-9384433C281D}"/>
              </c:ext>
            </c:extLst>
          </c:dPt>
          <c:dPt>
            <c:idx val="6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6-AA8C-4542-8B90-9384433C281D}"/>
              </c:ext>
            </c:extLst>
          </c:dPt>
          <c:dPt>
            <c:idx val="7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7-AA8C-4542-8B90-9384433C281D}"/>
              </c:ext>
            </c:extLst>
          </c:dPt>
          <c:dPt>
            <c:idx val="8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8-AA8C-4542-8B90-9384433C281D}"/>
              </c:ext>
            </c:extLst>
          </c:dPt>
          <c:dPt>
            <c:idx val="9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9-AA8C-4542-8B90-9384433C281D}"/>
              </c:ext>
            </c:extLst>
          </c:dPt>
          <c:dPt>
            <c:idx val="10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A-AA8C-4542-8B90-9384433C281D}"/>
              </c:ext>
            </c:extLst>
          </c:dPt>
          <c:cat>
            <c:numRef>
              <c:f>Лист1!$A$2:$A$6</c:f>
              <c:numCache>
                <c:formatCode>General</c:formatCode>
                <c:ptCount val="5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0.58041958041958042</c:v>
                </c:pt>
                <c:pt idx="1">
                  <c:v>0.89768574908647991</c:v>
                </c:pt>
                <c:pt idx="2">
                  <c:v>0.94616977225672882</c:v>
                </c:pt>
                <c:pt idx="3">
                  <c:v>0.76091954022988506</c:v>
                </c:pt>
                <c:pt idx="4">
                  <c:v>0.86339285714285718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B-AA8C-4542-8B90-9384433C281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Бывший сотрудник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3"/>
              <c:layout>
                <c:manualLayout>
                  <c:x val="-7.5694143466345127E-17"/>
                  <c:y val="0.1747056589441701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AA8C-4542-8B90-9384433C281D}"/>
                </c:ext>
              </c:extLst>
            </c:dLbl>
            <c:dLbl>
              <c:idx val="4"/>
              <c:layout>
                <c:manualLayout>
                  <c:x val="0"/>
                  <c:y val="0.1595138625142423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AA8C-4542-8B90-9384433C281D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</c:numCache>
            </c:num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5.4545454545454543E-2</c:v>
                </c:pt>
                <c:pt idx="1">
                  <c:v>1.4616321559074299E-2</c:v>
                </c:pt>
                <c:pt idx="2">
                  <c:v>1.2422360248447204E-2</c:v>
                </c:pt>
                <c:pt idx="3">
                  <c:v>4.5977011494252873E-2</c:v>
                </c:pt>
                <c:pt idx="4">
                  <c:v>4.1071428571428571E-2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E-AA8C-4542-8B90-9384433C281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Руководитель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0"/>
                  <c:y val="-5.31712875047475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AA8C-4542-8B90-9384433C281D}"/>
                </c:ext>
              </c:extLst>
            </c:dLbl>
            <c:dLbl>
              <c:idx val="2"/>
              <c:layout>
                <c:manualLayout>
                  <c:x val="0"/>
                  <c:y val="-9.11507785795670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AA8C-4542-8B90-9384433C281D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</c:numCache>
            </c:num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7.8321678321678329E-2</c:v>
                </c:pt>
                <c:pt idx="1">
                  <c:v>2.5578562728380026E-2</c:v>
                </c:pt>
                <c:pt idx="2">
                  <c:v>1.2422360248447204E-2</c:v>
                </c:pt>
                <c:pt idx="3">
                  <c:v>4.8275862068965517E-2</c:v>
                </c:pt>
                <c:pt idx="4">
                  <c:v>3.8392857142857145E-2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1-AA8C-4542-8B90-9384433C281D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Системный администратор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</c:numCache>
            </c:num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1.2587412587412588E-2</c:v>
                </c:pt>
                <c:pt idx="1">
                  <c:v>6.0901339829476245E-3</c:v>
                </c:pt>
                <c:pt idx="2">
                  <c:v>2.070393374741201E-3</c:v>
                </c:pt>
                <c:pt idx="3">
                  <c:v>9.1954022988505746E-3</c:v>
                </c:pt>
                <c:pt idx="4">
                  <c:v>1.9642857142857142E-2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2-AA8C-4542-8B90-9384433C281D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Контрагент/подрядчик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5,</a:t>
                    </a:r>
                    <a:r>
                      <a:rPr lang="ru-RU"/>
                      <a:t>5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2,</a:t>
                    </a:r>
                    <a:r>
                      <a:rPr lang="ru-RU"/>
                      <a:t>8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0"/>
                  <c:y val="0.1747056589441701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AA8C-4542-8B90-9384433C281D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</c:numCache>
            </c:numRef>
          </c:cat>
          <c:val>
            <c:numRef>
              <c:f>Лист1!$F$2:$F$6</c:f>
              <c:numCache>
                <c:formatCode>General</c:formatCode>
                <c:ptCount val="5"/>
                <c:pt idx="0">
                  <c:v>0.27412587412587414</c:v>
                </c:pt>
                <c:pt idx="1">
                  <c:v>5.6029232643118147E-2</c:v>
                </c:pt>
                <c:pt idx="2">
                  <c:v>2.6915113871635612E-2</c:v>
                </c:pt>
                <c:pt idx="3">
                  <c:v>0.13563218390804599</c:v>
                </c:pt>
                <c:pt idx="4">
                  <c:v>3.7499999999999999E-2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4-AA8C-4542-8B90-9384433C281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0219264"/>
        <c:axId val="150146432"/>
      </c:barChart>
      <c:catAx>
        <c:axId val="1502192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0146432"/>
        <c:crosses val="autoZero"/>
        <c:auto val="1"/>
        <c:lblAlgn val="ctr"/>
        <c:lblOffset val="100"/>
        <c:noMultiLvlLbl val="0"/>
      </c:catAx>
      <c:valAx>
        <c:axId val="150146432"/>
        <c:scaling>
          <c:orientation val="minMax"/>
          <c:max val="0.15000000000000002"/>
        </c:scaling>
        <c:delete val="1"/>
        <c:axPos val="l"/>
        <c:numFmt formatCode="General" sourceLinked="1"/>
        <c:majorTickMark val="out"/>
        <c:minorTickMark val="none"/>
        <c:tickLblPos val="nextTo"/>
        <c:crossAx val="1502192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Обычные сотрудники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91,</a:t>
                    </a:r>
                    <a:r>
                      <a:rPr lang="ru-RU"/>
                      <a:t>5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0.82807017543859651</c:v>
                </c:pt>
                <c:pt idx="1">
                  <c:v>0.92608695652173911</c:v>
                </c:pt>
                <c:pt idx="2">
                  <c:v>0.96855345911949686</c:v>
                </c:pt>
                <c:pt idx="3">
                  <c:v>0.92105263157894735</c:v>
                </c:pt>
                <c:pt idx="4">
                  <c:v>0.91554054054054057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F24-4E6C-AFFD-E8E9B09F22D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Привилегированные пользователи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н/д</a:t>
                    </a:r>
                  </a:p>
                </c:rich>
              </c:tx>
              <c:dLblPos val="inBase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F24-4E6C-AFFD-E8E9B09F22D6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</c:numCache>
            </c:num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7.3913043478260873E-2</c:v>
                </c:pt>
                <c:pt idx="1">
                  <c:v>7.3913043478260873E-2</c:v>
                </c:pt>
                <c:pt idx="2">
                  <c:v>3.1446540880503145E-2</c:v>
                </c:pt>
                <c:pt idx="3">
                  <c:v>7.8947368421052627E-2</c:v>
                </c:pt>
                <c:pt idx="4">
                  <c:v>8.4745762711864403E-2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EF24-4E6C-AFFD-E8E9B09F22D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34483456"/>
        <c:axId val="150148160"/>
      </c:barChart>
      <c:catAx>
        <c:axId val="1344834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0148160"/>
        <c:crosses val="autoZero"/>
        <c:auto val="1"/>
        <c:lblAlgn val="ctr"/>
        <c:lblOffset val="100"/>
        <c:noMultiLvlLbl val="0"/>
      </c:catAx>
      <c:valAx>
        <c:axId val="15014816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344834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Обычные сотрудники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0.51982378854625555</c:v>
                </c:pt>
                <c:pt idx="1">
                  <c:v>0.28437917222963954</c:v>
                </c:pt>
                <c:pt idx="2">
                  <c:v>0.32765957446808508</c:v>
                </c:pt>
                <c:pt idx="3">
                  <c:v>0.4985754985754986</c:v>
                </c:pt>
                <c:pt idx="4">
                  <c:v>0.2675222112537019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54AF-4E3E-9B36-5F6473669E4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Привилегированные пользователи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</c:numCache>
            </c:num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0.75384615384615383</c:v>
                </c:pt>
                <c:pt idx="1">
                  <c:v>0.65384615384615385</c:v>
                </c:pt>
                <c:pt idx="2">
                  <c:v>0.7142857142857143</c:v>
                </c:pt>
                <c:pt idx="3">
                  <c:v>0.6</c:v>
                </c:pt>
                <c:pt idx="4">
                  <c:v>0.38461538461538464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54AF-4E3E-9B36-5F6473669E4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1117440"/>
        <c:axId val="150149888"/>
      </c:lineChart>
      <c:catAx>
        <c:axId val="1411174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0149888"/>
        <c:crosses val="autoZero"/>
        <c:auto val="1"/>
        <c:lblAlgn val="ctr"/>
        <c:lblOffset val="100"/>
        <c:noMultiLvlLbl val="0"/>
      </c:catAx>
      <c:valAx>
        <c:axId val="15014988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411174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Мошенничество, доля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3.8495188101487311E-2</c:v>
                </c:pt>
                <c:pt idx="1">
                  <c:v>0.16338582677165353</c:v>
                </c:pt>
                <c:pt idx="2">
                  <c:v>0.14619289340101524</c:v>
                </c:pt>
                <c:pt idx="3">
                  <c:v>0.137434</c:v>
                </c:pt>
                <c:pt idx="4">
                  <c:v>0.15472312703583063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1C6F-4FFE-923E-C301B2698E4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Превышение прав доступа, доля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</c:numCache>
            </c:num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3.2370953630796152E-2</c:v>
                </c:pt>
                <c:pt idx="1">
                  <c:v>9.4488188976377951E-2</c:v>
                </c:pt>
                <c:pt idx="2">
                  <c:v>0.10355329949238579</c:v>
                </c:pt>
                <c:pt idx="3">
                  <c:v>0.12631156930126</c:v>
                </c:pt>
                <c:pt idx="4">
                  <c:v>5.3745928338762218E-2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1C6F-4FFE-923E-C301B2698E4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41117952"/>
        <c:axId val="151872064"/>
      </c:barChart>
      <c:catAx>
        <c:axId val="1411179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1872064"/>
        <c:crosses val="autoZero"/>
        <c:auto val="1"/>
        <c:lblAlgn val="ctr"/>
        <c:lblOffset val="100"/>
        <c:noMultiLvlLbl val="0"/>
      </c:catAx>
      <c:valAx>
        <c:axId val="15187206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411179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Обычные сотрудники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5D4-499E-8917-2797B610B2A8}"/>
                </c:ext>
              </c:extLst>
            </c:dLbl>
            <c:dLbl>
              <c:idx val="3"/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5D4-499E-8917-2797B610B2A8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2.2026431718061675E-2</c:v>
                </c:pt>
                <c:pt idx="1">
                  <c:v>0.31909212283044058</c:v>
                </c:pt>
                <c:pt idx="2">
                  <c:v>0.47234042553191491</c:v>
                </c:pt>
                <c:pt idx="3">
                  <c:v>0.45868945868945871</c:v>
                </c:pt>
                <c:pt idx="4">
                  <c:v>0.22507403751233959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55D4-499E-8917-2797B610B2A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Привилегированные пользователи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н/д</a:t>
                    </a:r>
                  </a:p>
                </c:rich>
              </c:tx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5D4-499E-8917-2797B610B2A8}"/>
                </c:ext>
              </c:extLst>
            </c:dLbl>
            <c:dLbl>
              <c:idx val="3"/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5D4-499E-8917-2797B610B2A8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</c:numCache>
            </c:num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0.5</c:v>
                </c:pt>
                <c:pt idx="1">
                  <c:v>0.5</c:v>
                </c:pt>
                <c:pt idx="2">
                  <c:v>0.5714285714285714</c:v>
                </c:pt>
                <c:pt idx="3">
                  <c:v>0.36</c:v>
                </c:pt>
                <c:pt idx="4">
                  <c:v>0.27692307692307694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5-55D4-499E-8917-2797B610B2A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7927040"/>
        <c:axId val="151873792"/>
      </c:lineChart>
      <c:catAx>
        <c:axId val="1479270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1873792"/>
        <c:crosses val="autoZero"/>
        <c:auto val="1"/>
        <c:lblAlgn val="ctr"/>
        <c:lblOffset val="100"/>
        <c:noMultiLvlLbl val="0"/>
      </c:catAx>
      <c:valAx>
        <c:axId val="15187379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479270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031781430777189E-2"/>
          <c:y val="4.2370096902072607E-2"/>
          <c:w val="0.9133240570362231"/>
          <c:h val="0.5642558856830773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Кража/потеря оборудования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0-A3C4-4EB2-817F-743FE5FB4923}"/>
              </c:ext>
            </c:extLst>
          </c:dPt>
          <c:dPt>
            <c:idx val="1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1-A3C4-4EB2-817F-743FE5FB4923}"/>
              </c:ext>
            </c:extLst>
          </c:dPt>
          <c:dPt>
            <c:idx val="2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2-A3C4-4EB2-817F-743FE5FB4923}"/>
              </c:ext>
            </c:extLst>
          </c:dPt>
          <c:dPt>
            <c:idx val="3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3-A3C4-4EB2-817F-743FE5FB4923}"/>
              </c:ext>
            </c:extLst>
          </c:dPt>
          <c:dPt>
            <c:idx val="4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4-A3C4-4EB2-817F-743FE5FB4923}"/>
              </c:ext>
            </c:extLst>
          </c:dPt>
          <c:dPt>
            <c:idx val="5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5-A3C4-4EB2-817F-743FE5FB4923}"/>
              </c:ext>
            </c:extLst>
          </c:dPt>
          <c:dPt>
            <c:idx val="6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6-A3C4-4EB2-817F-743FE5FB4923}"/>
              </c:ext>
            </c:extLst>
          </c:dPt>
          <c:dPt>
            <c:idx val="7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7-A3C4-4EB2-817F-743FE5FB4923}"/>
              </c:ext>
            </c:extLst>
          </c:dPt>
          <c:dPt>
            <c:idx val="8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8-A3C4-4EB2-817F-743FE5FB4923}"/>
              </c:ext>
            </c:extLst>
          </c:dPt>
          <c:dPt>
            <c:idx val="9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9-A3C4-4EB2-817F-743FE5FB4923}"/>
              </c:ext>
            </c:extLst>
          </c:dPt>
          <c:dPt>
            <c:idx val="10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A-A3C4-4EB2-817F-743FE5FB4923}"/>
              </c:ext>
            </c:extLst>
          </c:dPt>
          <c:dLbls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0.13356164383561644</c:v>
                </c:pt>
                <c:pt idx="1">
                  <c:v>0.26129032258064516</c:v>
                </c:pt>
                <c:pt idx="2">
                  <c:v>0.1476725521669342</c:v>
                </c:pt>
                <c:pt idx="3">
                  <c:v>5.3370786516853931E-2</c:v>
                </c:pt>
                <c:pt idx="4">
                  <c:v>6.9462647444298822E-2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B-A3C4-4EB2-817F-743FE5FB492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Мобильные устройства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Лист1!$A$2:$A$6</c:f>
              <c:numCache>
                <c:formatCode>General</c:formatCode>
                <c:ptCount val="5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</c:numCache>
            </c:num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3.2102728731942215E-3</c:v>
                </c:pt>
                <c:pt idx="3">
                  <c:v>2.8089887640449437E-3</c:v>
                </c:pt>
                <c:pt idx="4">
                  <c:v>6.55307994757536E-3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A3C4-4EB2-817F-743FE5FB492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Съемные носители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</c:numCache>
            </c:num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0.11986301369863013</c:v>
                </c:pt>
                <c:pt idx="1">
                  <c:v>5.4838709677419356E-2</c:v>
                </c:pt>
                <c:pt idx="2">
                  <c:v>6.9020866773675763E-2</c:v>
                </c:pt>
                <c:pt idx="3">
                  <c:v>6.741573033707865E-2</c:v>
                </c:pt>
                <c:pt idx="4">
                  <c:v>3.1454783748361727E-2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D-A3C4-4EB2-817F-743FE5FB4923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Сеть (браузер, Cloud)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</c:numCache>
            </c:num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0.20205479452054795</c:v>
                </c:pt>
                <c:pt idx="1">
                  <c:v>0.22258064516129034</c:v>
                </c:pt>
                <c:pt idx="2">
                  <c:v>0.3467094703049759</c:v>
                </c:pt>
                <c:pt idx="3">
                  <c:v>0.4691011235955056</c:v>
                </c:pt>
                <c:pt idx="4">
                  <c:v>0.45347313237221493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E-A3C4-4EB2-817F-743FE5FB4923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Электронная почта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</c:numCache>
            </c:numRef>
          </c:cat>
          <c:val>
            <c:numRef>
              <c:f>Лист1!$F$2:$F$6</c:f>
              <c:numCache>
                <c:formatCode>General</c:formatCode>
                <c:ptCount val="5"/>
                <c:pt idx="0">
                  <c:v>0.23287671232876711</c:v>
                </c:pt>
                <c:pt idx="1">
                  <c:v>0.14838709677419354</c:v>
                </c:pt>
                <c:pt idx="2">
                  <c:v>0.15409309791332262</c:v>
                </c:pt>
                <c:pt idx="3">
                  <c:v>0.23876404494382023</c:v>
                </c:pt>
                <c:pt idx="4">
                  <c:v>0.28309305373525556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F-A3C4-4EB2-817F-743FE5FB4923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Бумажные документы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</c:numCache>
            </c:numRef>
          </c:cat>
          <c:val>
            <c:numRef>
              <c:f>Лист1!$G$2:$G$6</c:f>
              <c:numCache>
                <c:formatCode>General</c:formatCode>
                <c:ptCount val="5"/>
                <c:pt idx="0">
                  <c:v>0.30821917808219179</c:v>
                </c:pt>
                <c:pt idx="1">
                  <c:v>0.30806451612903224</c:v>
                </c:pt>
                <c:pt idx="2">
                  <c:v>0.27608346709470305</c:v>
                </c:pt>
                <c:pt idx="3">
                  <c:v>0.1601123595505618</c:v>
                </c:pt>
                <c:pt idx="4">
                  <c:v>0.13499344692005241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0-A3C4-4EB2-817F-743FE5FB4923}"/>
            </c:ext>
          </c:extLst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IM (текст, голос, видео)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 sz="900"/>
                      <a:t>0,3%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4.1006989592942663E-3"/>
                  <c:y val="0"/>
                </c:manualLayout>
              </c:layout>
              <c:numFmt formatCode="0.0%" sourceLinked="0"/>
              <c:spPr/>
              <c:txPr>
                <a:bodyPr/>
                <a:lstStyle/>
                <a:p>
                  <a:pPr>
                    <a:defRPr sz="900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 sz="900"/>
                      <a:t>0,3%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en-US" sz="900"/>
                      <a:t>0,8%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en-US" sz="900"/>
                      <a:t>2,1%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0.0%" sourceLinked="0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</c:numCache>
            </c:numRef>
          </c:cat>
          <c:val>
            <c:numRef>
              <c:f>Лист1!$H$2:$H$6</c:f>
              <c:numCache>
                <c:formatCode>General</c:formatCode>
                <c:ptCount val="5"/>
                <c:pt idx="0">
                  <c:v>3.4246575342465752E-3</c:v>
                </c:pt>
                <c:pt idx="1">
                  <c:v>4.8387096774193551E-3</c:v>
                </c:pt>
                <c:pt idx="2">
                  <c:v>3.2102728731942215E-3</c:v>
                </c:pt>
                <c:pt idx="3">
                  <c:v>8.4269662921348312E-3</c:v>
                </c:pt>
                <c:pt idx="4">
                  <c:v>2.0969855832241154E-2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1-A3C4-4EB2-817F-743FE5FB492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0216704"/>
        <c:axId val="151875520"/>
      </c:barChart>
      <c:catAx>
        <c:axId val="1502167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1875520"/>
        <c:crosses val="autoZero"/>
        <c:auto val="1"/>
        <c:lblAlgn val="ctr"/>
        <c:lblOffset val="100"/>
        <c:noMultiLvlLbl val="0"/>
      </c:catAx>
      <c:valAx>
        <c:axId val="151875520"/>
        <c:scaling>
          <c:orientation val="minMax"/>
        </c:scaling>
        <c:delete val="1"/>
        <c:axPos val="l"/>
        <c:numFmt formatCode="0%" sourceLinked="0"/>
        <c:majorTickMark val="none"/>
        <c:minorTickMark val="none"/>
        <c:tickLblPos val="nextTo"/>
        <c:crossAx val="1502167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031781430777189E-2"/>
          <c:y val="4.2370096902072607E-2"/>
          <c:w val="0.9133240570362231"/>
          <c:h val="0.65249305696577253"/>
        </c:manualLayout>
      </c:layout>
      <c:lineChart>
        <c:grouping val="standard"/>
        <c:varyColors val="0"/>
        <c:ser>
          <c:idx val="1"/>
          <c:order val="0"/>
          <c:tx>
            <c:strRef>
              <c:f>Лист1!$C$1</c:f>
              <c:strCache>
                <c:ptCount val="1"/>
                <c:pt idx="0">
                  <c:v>Мобильные устройства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Лист1!$A$2:$A$6</c:f>
              <c:numCache>
                <c:formatCode>General</c:formatCode>
                <c:ptCount val="5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</c:numCache>
            </c:num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2.4844720496894411E-3</c:v>
                </c:pt>
                <c:pt idx="1">
                  <c:v>2.509410288582183E-3</c:v>
                </c:pt>
                <c:pt idx="2">
                  <c:v>1.0869565217391304E-2</c:v>
                </c:pt>
                <c:pt idx="3">
                  <c:v>8.4033613445378148E-3</c:v>
                </c:pt>
                <c:pt idx="4">
                  <c:v>3.968253968253968E-3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6EA3-4A8B-93F8-8F4DCC8E179F}"/>
            </c:ext>
          </c:extLst>
        </c:ser>
        <c:ser>
          <c:idx val="3"/>
          <c:order val="1"/>
          <c:tx>
            <c:strRef>
              <c:f>Лист1!$E$1</c:f>
              <c:strCache>
                <c:ptCount val="1"/>
                <c:pt idx="0">
                  <c:v>Сеть (браузер, Cloud)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dLbls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</c:numCache>
            </c:num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5.2173913043478258E-2</c:v>
                </c:pt>
                <c:pt idx="1">
                  <c:v>8.5319949811794235E-2</c:v>
                </c:pt>
                <c:pt idx="2">
                  <c:v>0.27173913043478259</c:v>
                </c:pt>
                <c:pt idx="3">
                  <c:v>0.24789915966386555</c:v>
                </c:pt>
                <c:pt idx="4">
                  <c:v>0.10218253968253968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6EA3-4A8B-93F8-8F4DCC8E179F}"/>
            </c:ext>
          </c:extLst>
        </c:ser>
        <c:ser>
          <c:idx val="5"/>
          <c:order val="2"/>
          <c:tx>
            <c:strRef>
              <c:f>Лист1!$G$1</c:f>
              <c:strCache>
                <c:ptCount val="1"/>
                <c:pt idx="0">
                  <c:v>Бумажные документы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dLbls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</c:numCache>
            </c:numRef>
          </c:cat>
          <c:val>
            <c:numRef>
              <c:f>Лист1!$G$2:$G$6</c:f>
              <c:numCache>
                <c:formatCode>General</c:formatCode>
                <c:ptCount val="5"/>
                <c:pt idx="0">
                  <c:v>0.11677018633540373</c:v>
                </c:pt>
                <c:pt idx="1">
                  <c:v>3.0112923462986198E-2</c:v>
                </c:pt>
                <c:pt idx="2">
                  <c:v>5.9782608695652176E-2</c:v>
                </c:pt>
                <c:pt idx="3">
                  <c:v>9.2436974789915971E-2</c:v>
                </c:pt>
                <c:pt idx="4">
                  <c:v>3.7698412698412696E-2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6EA3-4A8B-93F8-8F4DCC8E179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0785152"/>
        <c:axId val="151877248"/>
        <c:extLst xmlns:c16r2="http://schemas.microsoft.com/office/drawing/2015/06/chart">
          <c:ext xmlns:c15="http://schemas.microsoft.com/office/drawing/2012/chart" uri="{02D57815-91ED-43cb-92C2-25804820EDAC}">
            <c15:filteredLine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Лист1!$B$1</c15:sqref>
                        </c15:formulaRef>
                      </c:ext>
                    </c:extLst>
                    <c:strCache>
                      <c:ptCount val="1"/>
                      <c:pt idx="0">
                        <c:v>Кража/потеря оборудования</c:v>
                      </c:pt>
                    </c:strCache>
                  </c:strRef>
                </c:tx>
                <c:spPr>
                  <a:ln w="28575" cap="rnd">
                    <a:solidFill>
                      <a:schemeClr val="accent1"/>
                    </a:solidFill>
                    <a:round/>
                  </a:ln>
                  <a:effectLst/>
                </c:spPr>
                <c:marker>
                  <c:symbol val="none"/>
                </c:marker>
                <c:dPt>
                  <c:idx val="0"/>
                  <c:marker>
                    <c:symbol val="none"/>
                  </c:marker>
                  <c:bubble3D val="0"/>
                  <c:extLst>
                    <c:ext xmlns:c16="http://schemas.microsoft.com/office/drawing/2014/chart" uri="{C3380CC4-5D6E-409C-BE32-E72D297353CC}">
                      <c16:uniqueId val="{00000003-6EA3-4A8B-93F8-8F4DCC8E179F}"/>
                    </c:ext>
                  </c:extLst>
                </c:dPt>
                <c:dPt>
                  <c:idx val="1"/>
                  <c:marker>
                    <c:symbol val="none"/>
                  </c:marker>
                  <c:bubble3D val="0"/>
                  <c:extLst>
                    <c:ext xmlns:c16="http://schemas.microsoft.com/office/drawing/2014/chart" uri="{C3380CC4-5D6E-409C-BE32-E72D297353CC}">
                      <c16:uniqueId val="{00000004-6EA3-4A8B-93F8-8F4DCC8E179F}"/>
                    </c:ext>
                  </c:extLst>
                </c:dPt>
                <c:dPt>
                  <c:idx val="2"/>
                  <c:marker>
                    <c:symbol val="none"/>
                  </c:marker>
                  <c:bubble3D val="0"/>
                  <c:extLst>
                    <c:ext xmlns:c16="http://schemas.microsoft.com/office/drawing/2014/chart" uri="{C3380CC4-5D6E-409C-BE32-E72D297353CC}">
                      <c16:uniqueId val="{00000005-6EA3-4A8B-93F8-8F4DCC8E179F}"/>
                    </c:ext>
                  </c:extLst>
                </c:dPt>
                <c:dPt>
                  <c:idx val="3"/>
                  <c:marker>
                    <c:symbol val="none"/>
                  </c:marker>
                  <c:bubble3D val="0"/>
                  <c:extLst>
                    <c:ext xmlns:c16="http://schemas.microsoft.com/office/drawing/2014/chart" uri="{C3380CC4-5D6E-409C-BE32-E72D297353CC}">
                      <c16:uniqueId val="{00000006-6EA3-4A8B-93F8-8F4DCC8E179F}"/>
                    </c:ext>
                  </c:extLst>
                </c:dPt>
                <c:dPt>
                  <c:idx val="4"/>
                  <c:marker>
                    <c:symbol val="none"/>
                  </c:marker>
                  <c:bubble3D val="0"/>
                  <c:extLst>
                    <c:ext xmlns:c16="http://schemas.microsoft.com/office/drawing/2014/chart" uri="{C3380CC4-5D6E-409C-BE32-E72D297353CC}">
                      <c16:uniqueId val="{00000007-6EA3-4A8B-93F8-8F4DCC8E179F}"/>
                    </c:ext>
                  </c:extLst>
                </c:dPt>
                <c:dPt>
                  <c:idx val="5"/>
                  <c:marker>
                    <c:symbol val="none"/>
                  </c:marker>
                  <c:bubble3D val="0"/>
                  <c:extLst>
                    <c:ext xmlns:c16="http://schemas.microsoft.com/office/drawing/2014/chart" uri="{C3380CC4-5D6E-409C-BE32-E72D297353CC}">
                      <c16:uniqueId val="{00000008-6EA3-4A8B-93F8-8F4DCC8E179F}"/>
                    </c:ext>
                  </c:extLst>
                </c:dPt>
                <c:dPt>
                  <c:idx val="6"/>
                  <c:marker>
                    <c:symbol val="none"/>
                  </c:marker>
                  <c:bubble3D val="0"/>
                  <c:extLst>
                    <c:ext xmlns:c16="http://schemas.microsoft.com/office/drawing/2014/chart" uri="{C3380CC4-5D6E-409C-BE32-E72D297353CC}">
                      <c16:uniqueId val="{00000009-6EA3-4A8B-93F8-8F4DCC8E179F}"/>
                    </c:ext>
                  </c:extLst>
                </c:dPt>
                <c:dPt>
                  <c:idx val="7"/>
                  <c:marker>
                    <c:symbol val="none"/>
                  </c:marker>
                  <c:bubble3D val="0"/>
                  <c:extLst>
                    <c:ext xmlns:c16="http://schemas.microsoft.com/office/drawing/2014/chart" uri="{C3380CC4-5D6E-409C-BE32-E72D297353CC}">
                      <c16:uniqueId val="{0000000A-6EA3-4A8B-93F8-8F4DCC8E179F}"/>
                    </c:ext>
                  </c:extLst>
                </c:dPt>
                <c:dPt>
                  <c:idx val="8"/>
                  <c:marker>
                    <c:symbol val="none"/>
                  </c:marker>
                  <c:bubble3D val="0"/>
                  <c:extLst>
                    <c:ext xmlns:c16="http://schemas.microsoft.com/office/drawing/2014/chart" uri="{C3380CC4-5D6E-409C-BE32-E72D297353CC}">
                      <c16:uniqueId val="{0000000B-6EA3-4A8B-93F8-8F4DCC8E179F}"/>
                    </c:ext>
                  </c:extLst>
                </c:dPt>
                <c:dPt>
                  <c:idx val="9"/>
                  <c:marker>
                    <c:symbol val="none"/>
                  </c:marker>
                  <c:bubble3D val="0"/>
                  <c:extLst>
                    <c:ext xmlns:c16="http://schemas.microsoft.com/office/drawing/2014/chart" uri="{C3380CC4-5D6E-409C-BE32-E72D297353CC}">
                      <c16:uniqueId val="{0000000C-6EA3-4A8B-93F8-8F4DCC8E179F}"/>
                    </c:ext>
                  </c:extLst>
                </c:dPt>
                <c:dPt>
                  <c:idx val="10"/>
                  <c:marker>
                    <c:symbol val="none"/>
                  </c:marker>
                  <c:bubble3D val="0"/>
                  <c:extLst>
                    <c:ext xmlns:c16="http://schemas.microsoft.com/office/drawing/2014/chart" uri="{C3380CC4-5D6E-409C-BE32-E72D297353CC}">
                      <c16:uniqueId val="{0000000D-6EA3-4A8B-93F8-8F4DCC8E179F}"/>
                    </c:ext>
                  </c:extLst>
                </c:dPt>
                <c:dLbls>
                  <c:numFmt formatCode="0.0%" sourceLinked="0"/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0"/>
                    </c:ext>
                  </c:extLst>
                </c:dLbls>
                <c:cat>
                  <c:numRef>
                    <c:extLst>
                      <c:ext uri="{02D57815-91ED-43cb-92C2-25804820EDAC}">
                        <c15:formulaRef>
                          <c15:sqref>Лист1!$A$2:$A$6</c15:sqref>
                        </c15:formulaRef>
                      </c:ext>
                    </c:extLst>
                    <c:numCache>
                      <c:formatCode>General</c:formatCode>
                      <c:ptCount val="5"/>
                      <c:pt idx="0">
                        <c:v>2013</c:v>
                      </c:pt>
                      <c:pt idx="1">
                        <c:v>2014</c:v>
                      </c:pt>
                      <c:pt idx="2">
                        <c:v>2015</c:v>
                      </c:pt>
                      <c:pt idx="3">
                        <c:v>2016</c:v>
                      </c:pt>
                      <c:pt idx="4">
                        <c:v>2017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Лист1!$B$2:$B$6</c15:sqref>
                        </c15:formulaRef>
                      </c:ext>
                    </c:extLst>
                    <c:numCache>
                      <c:formatCode>General</c:formatCode>
                      <c:ptCount val="5"/>
                      <c:pt idx="0">
                        <c:v>0.1093167701863354</c:v>
                      </c:pt>
                      <c:pt idx="1">
                        <c:v>3.3877038895859475E-2</c:v>
                      </c:pt>
                      <c:pt idx="2">
                        <c:v>3.8043478260869568E-2</c:v>
                      </c:pt>
                      <c:pt idx="3">
                        <c:v>5.8823529411764705E-2</c:v>
                      </c:pt>
                      <c:pt idx="4">
                        <c:v>4.96031746031746E-3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E-6EA3-4A8B-93F8-8F4DCC8E179F}"/>
                  </c:ext>
                </c:extLst>
              </c15:ser>
            </c15:filteredLineSeries>
            <c15:filteredLine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Лист1!$D$1</c15:sqref>
                        </c15:formulaRef>
                      </c:ext>
                    </c:extLst>
                    <c:strCache>
                      <c:ptCount val="1"/>
                      <c:pt idx="0">
                        <c:v>Съемные носители</c:v>
                      </c:pt>
                    </c:strCache>
                  </c:strRef>
                </c:tx>
                <c:spPr>
                  <a:ln w="28575" cap="rnd">
                    <a:solidFill>
                      <a:schemeClr val="accent3"/>
                    </a:solidFill>
                    <a:round/>
                  </a:ln>
                  <a:effectLst/>
                </c:spPr>
                <c:marker>
                  <c:symbol val="none"/>
                </c:marker>
                <c:dLbls>
                  <c:numFmt formatCode="0.0%" sourceLinked="0"/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0"/>
                    </c:ext>
                  </c:extLst>
                </c:dLbls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Лист1!$A$2:$A$6</c15:sqref>
                        </c15:formulaRef>
                      </c:ext>
                    </c:extLst>
                    <c:numCache>
                      <c:formatCode>General</c:formatCode>
                      <c:ptCount val="5"/>
                      <c:pt idx="0">
                        <c:v>2013</c:v>
                      </c:pt>
                      <c:pt idx="1">
                        <c:v>2014</c:v>
                      </c:pt>
                      <c:pt idx="2">
                        <c:v>2015</c:v>
                      </c:pt>
                      <c:pt idx="3">
                        <c:v>2016</c:v>
                      </c:pt>
                      <c:pt idx="4">
                        <c:v>2017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Лист1!$D$2:$D$6</c15:sqref>
                        </c15:formulaRef>
                      </c:ext>
                    </c:extLst>
                    <c:numCache>
                      <c:formatCode>General</c:formatCode>
                      <c:ptCount val="5"/>
                      <c:pt idx="0">
                        <c:v>1.3664596273291925E-2</c:v>
                      </c:pt>
                      <c:pt idx="1">
                        <c:v>1.1292346298619825E-2</c:v>
                      </c:pt>
                      <c:pt idx="2">
                        <c:v>1.0869565217391304E-2</c:v>
                      </c:pt>
                      <c:pt idx="3">
                        <c:v>3.7815126050420166E-2</c:v>
                      </c:pt>
                      <c:pt idx="4">
                        <c:v>1.3888888888888888E-2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F-6EA3-4A8B-93F8-8F4DCC8E179F}"/>
                  </c:ext>
                </c:extLst>
              </c15:ser>
            </c15:filteredLineSeries>
            <c15:filteredLineSeries>
              <c15:ser>
                <c:idx val="4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Лист1!$F$1</c15:sqref>
                        </c15:formulaRef>
                      </c:ext>
                    </c:extLst>
                    <c:strCache>
                      <c:ptCount val="1"/>
                      <c:pt idx="0">
                        <c:v>Электронная почта</c:v>
                      </c:pt>
                    </c:strCache>
                  </c:strRef>
                </c:tx>
                <c:spPr>
                  <a:ln w="28575" cap="rnd">
                    <a:solidFill>
                      <a:schemeClr val="accent5"/>
                    </a:solidFill>
                    <a:round/>
                  </a:ln>
                  <a:effectLst/>
                </c:spPr>
                <c:marker>
                  <c:symbol val="none"/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Лист1!$A$2:$A$6</c15:sqref>
                        </c15:formulaRef>
                      </c:ext>
                    </c:extLst>
                    <c:numCache>
                      <c:formatCode>General</c:formatCode>
                      <c:ptCount val="5"/>
                      <c:pt idx="0">
                        <c:v>2013</c:v>
                      </c:pt>
                      <c:pt idx="1">
                        <c:v>2014</c:v>
                      </c:pt>
                      <c:pt idx="2">
                        <c:v>2015</c:v>
                      </c:pt>
                      <c:pt idx="3">
                        <c:v>2016</c:v>
                      </c:pt>
                      <c:pt idx="4">
                        <c:v>2017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Лист1!$F$2:$F$6</c15:sqref>
                        </c15:formulaRef>
                      </c:ext>
                    </c:extLst>
                    <c:numCache>
                      <c:formatCode>General</c:formatCode>
                      <c:ptCount val="5"/>
                      <c:pt idx="0">
                        <c:v>3.6024844720496892E-2</c:v>
                      </c:pt>
                      <c:pt idx="1">
                        <c:v>7.5282308657465494E-3</c:v>
                      </c:pt>
                      <c:pt idx="2">
                        <c:v>1.6304347826086956E-2</c:v>
                      </c:pt>
                      <c:pt idx="3">
                        <c:v>5.0420168067226892E-2</c:v>
                      </c:pt>
                      <c:pt idx="4">
                        <c:v>2.0833333333333332E-2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0-6EA3-4A8B-93F8-8F4DCC8E179F}"/>
                  </c:ext>
                </c:extLst>
              </c15:ser>
            </c15:filteredLineSeries>
            <c15:filteredLineSeries>
              <c15:ser>
                <c:idx val="6"/>
                <c:order val="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Лист1!$H$1</c15:sqref>
                        </c15:formulaRef>
                      </c:ext>
                    </c:extLst>
                    <c:strCache>
                      <c:ptCount val="1"/>
                      <c:pt idx="0">
                        <c:v>IM (текст, голос, видео)</c:v>
                      </c:pt>
                    </c:strCache>
                  </c:strRef>
                </c:tx>
                <c:spPr>
                  <a:ln w="28575" cap="rnd">
                    <a:solidFill>
                      <a:schemeClr val="accent1">
                        <a:lumMod val="60000"/>
                      </a:schemeClr>
                    </a:solidFill>
                    <a:round/>
                  </a:ln>
                  <a:effectLst/>
                </c:spPr>
                <c:marker>
                  <c:symbol val="none"/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Лист1!$A$2:$A$6</c15:sqref>
                        </c15:formulaRef>
                      </c:ext>
                    </c:extLst>
                    <c:numCache>
                      <c:formatCode>General</c:formatCode>
                      <c:ptCount val="5"/>
                      <c:pt idx="0">
                        <c:v>2013</c:v>
                      </c:pt>
                      <c:pt idx="1">
                        <c:v>2014</c:v>
                      </c:pt>
                      <c:pt idx="2">
                        <c:v>2015</c:v>
                      </c:pt>
                      <c:pt idx="3">
                        <c:v>2016</c:v>
                      </c:pt>
                      <c:pt idx="4">
                        <c:v>2017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Лист1!$H$2:$H$6</c15:sqref>
                        </c15:formulaRef>
                      </c:ext>
                    </c:extLst>
                    <c:numCache>
                      <c:formatCode>General</c:formatCode>
                      <c:ptCount val="5"/>
                      <c:pt idx="0">
                        <c:v>6.70807453416149E-2</c:v>
                      </c:pt>
                      <c:pt idx="1">
                        <c:v>3.7641154328732747E-3</c:v>
                      </c:pt>
                      <c:pt idx="2">
                        <c:v>5.434782608695652E-3</c:v>
                      </c:pt>
                      <c:pt idx="3">
                        <c:v>7.9831932773109238E-2</c:v>
                      </c:pt>
                      <c:pt idx="4">
                        <c:v>2.7777777777777776E-2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1-6EA3-4A8B-93F8-8F4DCC8E179F}"/>
                  </c:ext>
                </c:extLst>
              </c15:ser>
            </c15:filteredLineSeries>
          </c:ext>
        </c:extLst>
      </c:lineChart>
      <c:catAx>
        <c:axId val="1407851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1877248"/>
        <c:crosses val="autoZero"/>
        <c:auto val="1"/>
        <c:lblAlgn val="ctr"/>
        <c:lblOffset val="100"/>
        <c:noMultiLvlLbl val="0"/>
      </c:catAx>
      <c:valAx>
        <c:axId val="151877248"/>
        <c:scaling>
          <c:orientation val="minMax"/>
        </c:scaling>
        <c:delete val="0"/>
        <c:axPos val="l"/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07851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Число "внутренних" утечек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1143</a:t>
                    </a:r>
                  </a:p>
                </c:rich>
              </c:tx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A06-428D-AE3E-5C7812CEF8F9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1016</a:t>
                    </a:r>
                  </a:p>
                </c:rich>
              </c:tx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A06-428D-AE3E-5C7812CEF8F9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ru-RU"/>
                      <a:t>984</a:t>
                    </a:r>
                  </a:p>
                </c:rich>
              </c:tx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A06-428D-AE3E-5C7812CEF8F9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ru-RU"/>
                      <a:t>873</a:t>
                    </a:r>
                  </a:p>
                </c:rich>
              </c:tx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3A06-428D-AE3E-5C7812CEF8F9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ru-RU"/>
                      <a:t>1228</a:t>
                    </a:r>
                  </a:p>
                </c:rich>
              </c:tx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4-3A06-428D-AE3E-5C7812CEF8F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1143</c:v>
                </c:pt>
                <c:pt idx="1">
                  <c:v>1016</c:v>
                </c:pt>
                <c:pt idx="2">
                  <c:v>984</c:v>
                </c:pt>
                <c:pt idx="3">
                  <c:v>873</c:v>
                </c:pt>
                <c:pt idx="4">
                  <c:v>1228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5-3A06-428D-AE3E-5C7812CEF8F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Доля "внутренних" утечек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н/д</a:t>
                    </a:r>
                  </a:p>
                </c:rich>
              </c:tx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3A06-428D-AE3E-5C7812CEF8F9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72,8%</a:t>
                    </a:r>
                  </a:p>
                </c:rich>
              </c:tx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3A06-428D-AE3E-5C7812CEF8F9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65,4%</a:t>
                    </a:r>
                  </a:p>
                </c:rich>
              </c:tx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3A06-428D-AE3E-5C7812CEF8F9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56,1%</a:t>
                    </a:r>
                  </a:p>
                </c:rich>
              </c:tx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3A06-428D-AE3E-5C7812CEF8F9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57,6%</a:t>
                    </a:r>
                  </a:p>
                </c:rich>
              </c:tx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3A06-428D-AE3E-5C7812CEF8F9}"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</c:numCache>
            </c:num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728</c:v>
                </c:pt>
                <c:pt idx="1">
                  <c:v>728</c:v>
                </c:pt>
                <c:pt idx="2">
                  <c:v>651</c:v>
                </c:pt>
                <c:pt idx="3">
                  <c:v>561</c:v>
                </c:pt>
                <c:pt idx="4">
                  <c:v>576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B-3A06-428D-AE3E-5C7812CEF8F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7928576"/>
        <c:axId val="152477696"/>
      </c:lineChart>
      <c:catAx>
        <c:axId val="1479285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2477696"/>
        <c:crosses val="autoZero"/>
        <c:auto val="1"/>
        <c:lblAlgn val="ctr"/>
        <c:lblOffset val="100"/>
        <c:noMultiLvlLbl val="0"/>
      </c:catAx>
      <c:valAx>
        <c:axId val="152477696"/>
        <c:scaling>
          <c:orientation val="minMax"/>
          <c:min val="200"/>
        </c:scaling>
        <c:delete val="1"/>
        <c:axPos val="l"/>
        <c:numFmt formatCode="General" sourceLinked="1"/>
        <c:majorTickMark val="none"/>
        <c:minorTickMark val="none"/>
        <c:tickLblPos val="nextTo"/>
        <c:crossAx val="1479285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Объем данных в расчете на одну "внутреннюю" утечку, тыс</c:v>
                </c:pt>
              </c:strCache>
            </c:strRef>
          </c:tx>
          <c:spPr>
            <a:ln w="28575"/>
          </c:spPr>
          <c:marker>
            <c:symbol val="none"/>
          </c:marker>
          <c:dLbls>
            <c:numFmt formatCode="#,##0.0&quot; млн&quot;" sourceLinked="0"/>
            <c:spPr>
              <a:noFill/>
              <a:ln>
                <a:noFill/>
              </a:ln>
              <a:effectLst/>
            </c:sp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0.49518800000000002</c:v>
                </c:pt>
                <c:pt idx="1">
                  <c:v>0.55021500000000001</c:v>
                </c:pt>
                <c:pt idx="2">
                  <c:v>0.64136800000000005</c:v>
                </c:pt>
                <c:pt idx="3">
                  <c:v>0.56053297999999996</c:v>
                </c:pt>
                <c:pt idx="4">
                  <c:v>3.8352435300000001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8759-4077-8039-0F27AF93664A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34481920"/>
        <c:axId val="152479424"/>
      </c:lineChart>
      <c:catAx>
        <c:axId val="1344819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52479424"/>
        <c:crosses val="autoZero"/>
        <c:auto val="1"/>
        <c:lblAlgn val="ctr"/>
        <c:lblOffset val="100"/>
        <c:noMultiLvlLbl val="0"/>
      </c:catAx>
      <c:valAx>
        <c:axId val="152479424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34481920"/>
        <c:crosses val="autoZero"/>
        <c:crossBetween val="between"/>
      </c:valAx>
    </c:plotArea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Объем ПДн и финансовой информации, млн записей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numFmt formatCode="#,##0.0&quot; млн&quot;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223.2</c:v>
                </c:pt>
                <c:pt idx="1">
                  <c:v>352.78840000000002</c:v>
                </c:pt>
                <c:pt idx="2">
                  <c:v>335.36309999999997</c:v>
                </c:pt>
                <c:pt idx="3">
                  <c:v>489.34529500000002</c:v>
                </c:pt>
                <c:pt idx="4">
                  <c:v>4709.6790600000004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5-7465-4CBF-A338-F921227544C9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47928064"/>
        <c:axId val="152481152"/>
      </c:lineChart>
      <c:catAx>
        <c:axId val="1479280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2481152"/>
        <c:crosses val="autoZero"/>
        <c:auto val="1"/>
        <c:lblAlgn val="ctr"/>
        <c:lblOffset val="100"/>
        <c:noMultiLvlLbl val="0"/>
      </c:catAx>
      <c:valAx>
        <c:axId val="15248115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47928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Доля случайных "внутренних" утечек, %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0.45669291338582679</c:v>
                </c:pt>
                <c:pt idx="1">
                  <c:v>0.68208661417322836</c:v>
                </c:pt>
                <c:pt idx="2">
                  <c:v>0.7967479674796748</c:v>
                </c:pt>
                <c:pt idx="3">
                  <c:v>0.47308132875143183</c:v>
                </c:pt>
                <c:pt idx="4">
                  <c:v>0.65472312703583058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C69E-4C91-9577-F1AFD2A2B47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Объем данных, скомпрометированных в результате случайных "внутренних" утечек, %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н/д</a:t>
                    </a:r>
                  </a:p>
                </c:rich>
              </c:tx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C69E-4C91-9577-F1AFD2A2B471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</c:numCache>
            </c:num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0.67400000000000004</c:v>
                </c:pt>
                <c:pt idx="1">
                  <c:v>0.67400000000000004</c:v>
                </c:pt>
                <c:pt idx="2">
                  <c:v>0.87975212538290604</c:v>
                </c:pt>
                <c:pt idx="3">
                  <c:v>0.82047072098649687</c:v>
                </c:pt>
                <c:pt idx="4">
                  <c:v>0.95357972651325407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C69E-4C91-9577-F1AFD2A2B47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7929088"/>
        <c:axId val="152482880"/>
      </c:lineChart>
      <c:catAx>
        <c:axId val="1479290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2482880"/>
        <c:crosses val="autoZero"/>
        <c:auto val="1"/>
        <c:lblAlgn val="ctr"/>
        <c:lblOffset val="100"/>
        <c:noMultiLvlLbl val="0"/>
      </c:catAx>
      <c:valAx>
        <c:axId val="15248288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479290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967437596312016E-2"/>
          <c:y val="7.5917465653341856E-2"/>
          <c:w val="0.9133240570362231"/>
          <c:h val="0.737454717562686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Персональные данные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0-27FF-4CD8-A49D-1DD5C4A38F4A}"/>
              </c:ext>
            </c:extLst>
          </c:dPt>
          <c:dPt>
            <c:idx val="1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1-27FF-4CD8-A49D-1DD5C4A38F4A}"/>
              </c:ext>
            </c:extLst>
          </c:dPt>
          <c:dPt>
            <c:idx val="2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2-27FF-4CD8-A49D-1DD5C4A38F4A}"/>
              </c:ext>
            </c:extLst>
          </c:dPt>
          <c:dPt>
            <c:idx val="3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3-27FF-4CD8-A49D-1DD5C4A38F4A}"/>
              </c:ext>
            </c:extLst>
          </c:dPt>
          <c:dPt>
            <c:idx val="4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4-27FF-4CD8-A49D-1DD5C4A38F4A}"/>
              </c:ext>
            </c:extLst>
          </c:dPt>
          <c:dPt>
            <c:idx val="5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5-27FF-4CD8-A49D-1DD5C4A38F4A}"/>
              </c:ext>
            </c:extLst>
          </c:dPt>
          <c:dPt>
            <c:idx val="6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6-27FF-4CD8-A49D-1DD5C4A38F4A}"/>
              </c:ext>
            </c:extLst>
          </c:dPt>
          <c:dPt>
            <c:idx val="7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7-27FF-4CD8-A49D-1DD5C4A38F4A}"/>
              </c:ext>
            </c:extLst>
          </c:dPt>
          <c:dPt>
            <c:idx val="8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8-27FF-4CD8-A49D-1DD5C4A38F4A}"/>
              </c:ext>
            </c:extLst>
          </c:dPt>
          <c:dPt>
            <c:idx val="9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9-27FF-4CD8-A49D-1DD5C4A38F4A}"/>
              </c:ext>
            </c:extLst>
          </c:dPt>
          <c:dPt>
            <c:idx val="10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A-27FF-4CD8-A49D-1DD5C4A38F4A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 baseline="0">
                        <a:solidFill>
                          <a:schemeClr val="tx1"/>
                        </a:solidFill>
                      </a:rPr>
                      <a:t>52%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 baseline="0">
                        <a:solidFill>
                          <a:schemeClr val="tx1"/>
                        </a:solidFill>
                      </a:rPr>
                      <a:t>22%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 baseline="0">
                        <a:solidFill>
                          <a:schemeClr val="tx1"/>
                        </a:solidFill>
                      </a:rPr>
                      <a:t>16%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en-US" baseline="0">
                        <a:solidFill>
                          <a:schemeClr val="tx1"/>
                        </a:solidFill>
                      </a:rPr>
                      <a:t>33%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en-US" baseline="0">
                        <a:solidFill>
                          <a:schemeClr val="tx1"/>
                        </a:solidFill>
                      </a:rPr>
                      <a:t>26%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0.51551956815114708</c:v>
                </c:pt>
                <c:pt idx="1">
                  <c:v>0.22012578616352202</c:v>
                </c:pt>
                <c:pt idx="2">
                  <c:v>0.15870967741935485</c:v>
                </c:pt>
                <c:pt idx="3">
                  <c:v>0.32608695652173914</c:v>
                </c:pt>
                <c:pt idx="4">
                  <c:v>0.2611036339165545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B-27FF-4CD8-A49D-1DD5C4A38F4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Платежная информация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 sz="900" baseline="0">
                        <a:solidFill>
                          <a:schemeClr val="tx1"/>
                        </a:solidFill>
                      </a:rPr>
                      <a:t>86%</a:t>
                    </a:r>
                    <a:endParaRPr lang="en-US" sz="900" baseline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900"/>
                      <a:t>63%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 sz="900"/>
                      <a:t>49%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en-US" sz="900" baseline="0"/>
                      <a:t>60%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en-US" sz="900" baseline="0">
                        <a:solidFill>
                          <a:schemeClr val="tx1"/>
                        </a:solidFill>
                      </a:rPr>
                      <a:t>28%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0%" sourceLinked="0"/>
            <c:txPr>
              <a:bodyPr/>
              <a:lstStyle/>
              <a:p>
                <a:pPr>
                  <a:defRPr baseline="0">
                    <a:solidFill>
                      <a:schemeClr val="tx1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</c:numCache>
            </c:num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0.8571428571428571</c:v>
                </c:pt>
                <c:pt idx="1">
                  <c:v>0.62962962962962965</c:v>
                </c:pt>
                <c:pt idx="2">
                  <c:v>0.48863636363636365</c:v>
                </c:pt>
                <c:pt idx="3">
                  <c:v>0.6</c:v>
                </c:pt>
                <c:pt idx="4">
                  <c:v>0.28292682926829266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27FF-4CD8-A49D-1DD5C4A38F4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Государственная тайна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 baseline="0">
                        <a:solidFill>
                          <a:schemeClr val="tx1"/>
                        </a:solidFill>
                      </a:rPr>
                      <a:t>91%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 baseline="0">
                        <a:solidFill>
                          <a:schemeClr val="tx1"/>
                        </a:solidFill>
                      </a:rPr>
                      <a:t>32%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 baseline="0">
                        <a:solidFill>
                          <a:schemeClr val="tx1"/>
                        </a:solidFill>
                      </a:rPr>
                      <a:t>11%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en-US" baseline="0">
                        <a:solidFill>
                          <a:schemeClr val="tx1"/>
                        </a:solidFill>
                      </a:rPr>
                      <a:t>30%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en-US" baseline="0">
                        <a:solidFill>
                          <a:schemeClr val="tx1"/>
                        </a:solidFill>
                      </a:rPr>
                      <a:t>63%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</c:numCache>
            </c:num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0.90909090909090906</c:v>
                </c:pt>
                <c:pt idx="1">
                  <c:v>0.31578947368421051</c:v>
                </c:pt>
                <c:pt idx="2">
                  <c:v>0.1111111111111111</c:v>
                </c:pt>
                <c:pt idx="3">
                  <c:v>0.3</c:v>
                </c:pt>
                <c:pt idx="4">
                  <c:v>0.63265306122448983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D-27FF-4CD8-A49D-1DD5C4A38F4A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Коммерческая тайна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1.0317972282839181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 sz="900"/>
                      <a:t>93%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900"/>
                      <a:t>44%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 sz="900" baseline="0">
                        <a:solidFill>
                          <a:schemeClr val="tx1"/>
                        </a:solidFill>
                      </a:rPr>
                      <a:t>18%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en-US" sz="900" baseline="0">
                        <a:solidFill>
                          <a:schemeClr val="tx1"/>
                        </a:solidFill>
                      </a:rPr>
                      <a:t>60%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en-US" sz="900" baseline="0">
                        <a:solidFill>
                          <a:schemeClr val="tx1"/>
                        </a:solidFill>
                      </a:rPr>
                      <a:t>55%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0%" sourceLinked="0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</c:numCache>
            </c:num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0.93333333333333335</c:v>
                </c:pt>
                <c:pt idx="1">
                  <c:v>0.44117647058823528</c:v>
                </c:pt>
                <c:pt idx="2">
                  <c:v>0.17910447761194029</c:v>
                </c:pt>
                <c:pt idx="3">
                  <c:v>0.6</c:v>
                </c:pt>
                <c:pt idx="4">
                  <c:v>0.54545454545454541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E-27FF-4CD8-A49D-1DD5C4A38F4A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Секреты производства, know-how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 sz="900"/>
                      <a:t>75%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900"/>
                      <a:t>50%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 sz="900" baseline="0">
                        <a:solidFill>
                          <a:schemeClr val="tx1"/>
                        </a:solidFill>
                      </a:rPr>
                      <a:t>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en-US" sz="900" baseline="0">
                        <a:solidFill>
                          <a:schemeClr val="tx1"/>
                        </a:solidFill>
                      </a:rPr>
                      <a:t>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en-US" sz="900" baseline="0">
                        <a:solidFill>
                          <a:schemeClr val="tx1"/>
                        </a:solidFill>
                      </a:rPr>
                      <a:t>76%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0%" sourceLinked="0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</c:numCache>
            </c:numRef>
          </c:cat>
          <c:val>
            <c:numRef>
              <c:f>Лист1!$F$2:$F$6</c:f>
              <c:numCache>
                <c:formatCode>General</c:formatCode>
                <c:ptCount val="5"/>
                <c:pt idx="0">
                  <c:v>0.75</c:v>
                </c:pt>
                <c:pt idx="1">
                  <c:v>0.5</c:v>
                </c:pt>
                <c:pt idx="2">
                  <c:v>0</c:v>
                </c:pt>
                <c:pt idx="3">
                  <c:v>0</c:v>
                </c:pt>
                <c:pt idx="4">
                  <c:v>0.76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F-27FF-4CD8-A49D-1DD5C4A38F4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0503936"/>
        <c:axId val="152484608"/>
      </c:barChart>
      <c:catAx>
        <c:axId val="1505039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2484608"/>
        <c:crosses val="autoZero"/>
        <c:auto val="1"/>
        <c:lblAlgn val="ctr"/>
        <c:lblOffset val="100"/>
        <c:noMultiLvlLbl val="0"/>
      </c:catAx>
      <c:valAx>
        <c:axId val="152484608"/>
        <c:scaling>
          <c:orientation val="minMax"/>
        </c:scaling>
        <c:delete val="1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Умышленные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0%" sourceLinked="0"/>
        <c:majorTickMark val="none"/>
        <c:minorTickMark val="none"/>
        <c:tickLblPos val="nextTo"/>
        <c:crossAx val="1505039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967437596312016E-2"/>
          <c:y val="0"/>
          <c:w val="0.9133240570362231"/>
          <c:h val="0.5996749731510003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Персональные данные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0-464B-483F-B94C-D5D94709D5D1}"/>
              </c:ext>
            </c:extLst>
          </c:dPt>
          <c:dPt>
            <c:idx val="1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1-464B-483F-B94C-D5D94709D5D1}"/>
              </c:ext>
            </c:extLst>
          </c:dPt>
          <c:dPt>
            <c:idx val="2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2-464B-483F-B94C-D5D94709D5D1}"/>
              </c:ext>
            </c:extLst>
          </c:dPt>
          <c:dPt>
            <c:idx val="3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3-464B-483F-B94C-D5D94709D5D1}"/>
              </c:ext>
            </c:extLst>
          </c:dPt>
          <c:dPt>
            <c:idx val="4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4-464B-483F-B94C-D5D94709D5D1}"/>
              </c:ext>
            </c:extLst>
          </c:dPt>
          <c:dPt>
            <c:idx val="5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5-464B-483F-B94C-D5D94709D5D1}"/>
              </c:ext>
            </c:extLst>
          </c:dPt>
          <c:dPt>
            <c:idx val="6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6-464B-483F-B94C-D5D94709D5D1}"/>
              </c:ext>
            </c:extLst>
          </c:dPt>
          <c:dPt>
            <c:idx val="7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7-464B-483F-B94C-D5D94709D5D1}"/>
              </c:ext>
            </c:extLst>
          </c:dPt>
          <c:dPt>
            <c:idx val="8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8-464B-483F-B94C-D5D94709D5D1}"/>
              </c:ext>
            </c:extLst>
          </c:dPt>
          <c:dPt>
            <c:idx val="9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9-464B-483F-B94C-D5D94709D5D1}"/>
              </c:ext>
            </c:extLst>
          </c:dPt>
          <c:dPt>
            <c:idx val="10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A-464B-483F-B94C-D5D94709D5D1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 sz="900"/>
                      <a:t>48%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900"/>
                      <a:t>78%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 sz="900"/>
                      <a:t>84%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en-US" sz="900"/>
                      <a:t>67%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0"/>
                  <c:y val="5.5041482211475592E-17"/>
                </c:manualLayout>
              </c:layout>
              <c:tx>
                <c:rich>
                  <a:bodyPr/>
                  <a:lstStyle/>
                  <a:p>
                    <a:r>
                      <a:rPr lang="en-US" sz="900"/>
                      <a:t>74%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0%" sourceLinked="0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-0.48448043200000002</c:v>
                </c:pt>
                <c:pt idx="1">
                  <c:v>-0.77987421400000001</c:v>
                </c:pt>
                <c:pt idx="2">
                  <c:v>-0.84129032299999995</c:v>
                </c:pt>
                <c:pt idx="3">
                  <c:v>-0.67391304299999999</c:v>
                </c:pt>
                <c:pt idx="4">
                  <c:v>-0.73889636600000008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B-464B-483F-B94C-D5D94709D5D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Платежная информация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 sz="900" baseline="0">
                        <a:solidFill>
                          <a:schemeClr val="tx1"/>
                        </a:solidFill>
                      </a:rPr>
                      <a:t>14%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900" baseline="0">
                        <a:solidFill>
                          <a:schemeClr val="tx1"/>
                        </a:solidFill>
                      </a:rPr>
                      <a:t>37%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 sz="900" baseline="0">
                        <a:solidFill>
                          <a:schemeClr val="tx1"/>
                        </a:solidFill>
                      </a:rPr>
                      <a:t>51%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en-US" sz="900" baseline="0">
                        <a:solidFill>
                          <a:schemeClr val="tx1"/>
                        </a:solidFill>
                      </a:rPr>
                      <a:t>40%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0"/>
                  <c:y val="1.8013784090850044E-2"/>
                </c:manualLayout>
              </c:layout>
              <c:tx>
                <c:rich>
                  <a:bodyPr/>
                  <a:lstStyle/>
                  <a:p>
                    <a:r>
                      <a:rPr lang="en-US" sz="900" baseline="0">
                        <a:solidFill>
                          <a:schemeClr val="tx1"/>
                        </a:solidFill>
                      </a:rPr>
                      <a:t>72%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0%" sourceLinked="0"/>
            <c:txPr>
              <a:bodyPr/>
              <a:lstStyle/>
              <a:p>
                <a:pPr>
                  <a:defRPr sz="900" baseline="0">
                    <a:solidFill>
                      <a:schemeClr val="tx1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</c:numCache>
            </c:num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-0.14285714299999996</c:v>
                </c:pt>
                <c:pt idx="1">
                  <c:v>-0.37037036999999995</c:v>
                </c:pt>
                <c:pt idx="2">
                  <c:v>-0.51136363600000001</c:v>
                </c:pt>
                <c:pt idx="3">
                  <c:v>-0.4</c:v>
                </c:pt>
                <c:pt idx="4">
                  <c:v>-0.71707317100000001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464B-483F-B94C-D5D94709D5D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Государственная тайна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9%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68%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89%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70%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37%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0%" sourceLinked="0"/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</c:numCache>
            </c:num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-9.0909090999999997E-2</c:v>
                </c:pt>
                <c:pt idx="1">
                  <c:v>-0.68421052599999999</c:v>
                </c:pt>
                <c:pt idx="2">
                  <c:v>-0.88888888899999996</c:v>
                </c:pt>
                <c:pt idx="3">
                  <c:v>-0.7</c:v>
                </c:pt>
                <c:pt idx="4">
                  <c:v>-0.36734693900000004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D-464B-483F-B94C-D5D94709D5D1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Коммерческая тайна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7%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56%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82%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40%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45%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0%" sourceLinked="0"/>
            <c:txPr>
              <a:bodyPr/>
              <a:lstStyle/>
              <a:p>
                <a:pPr>
                  <a:defRPr sz="900" strike="noStrike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</c:numCache>
            </c:num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-6.6666667000000013E-2</c:v>
                </c:pt>
                <c:pt idx="1">
                  <c:v>-0.55882352899999999</c:v>
                </c:pt>
                <c:pt idx="2">
                  <c:v>-0.82089552200000004</c:v>
                </c:pt>
                <c:pt idx="3">
                  <c:v>-0.4</c:v>
                </c:pt>
                <c:pt idx="4">
                  <c:v>-0.45454545499999999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E-464B-483F-B94C-D5D94709D5D1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Секреты производства, know-how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25%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50%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24%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0%" sourceLinked="0"/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</c:numCache>
            </c:numRef>
          </c:cat>
          <c:val>
            <c:numRef>
              <c:f>Лист1!$F$2:$F$6</c:f>
              <c:numCache>
                <c:formatCode>General</c:formatCode>
                <c:ptCount val="5"/>
                <c:pt idx="0">
                  <c:v>-0.25</c:v>
                </c:pt>
                <c:pt idx="1">
                  <c:v>-0.5</c:v>
                </c:pt>
                <c:pt idx="2">
                  <c:v>0</c:v>
                </c:pt>
                <c:pt idx="3">
                  <c:v>0</c:v>
                </c:pt>
                <c:pt idx="4">
                  <c:v>-0.24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F-464B-483F-B94C-D5D94709D5D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0504448"/>
        <c:axId val="152486464"/>
      </c:barChart>
      <c:catAx>
        <c:axId val="150504448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52486464"/>
        <c:crosses val="autoZero"/>
        <c:auto val="1"/>
        <c:lblAlgn val="ctr"/>
        <c:lblOffset val="100"/>
        <c:noMultiLvlLbl val="0"/>
      </c:catAx>
      <c:valAx>
        <c:axId val="152486464"/>
        <c:scaling>
          <c:orientation val="minMax"/>
          <c:max val="-5.000000000000001E-2"/>
          <c:min val="-1"/>
        </c:scaling>
        <c:delete val="1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Случайные</a:t>
                </a:r>
              </a:p>
            </c:rich>
          </c:tx>
          <c:layout>
            <c:manualLayout>
              <c:xMode val="edge"/>
              <c:yMode val="edge"/>
              <c:x val="3.2579046804147471E-2"/>
              <c:y val="9.4780433999148164E-2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%" sourceLinked="0"/>
        <c:majorTickMark val="none"/>
        <c:minorTickMark val="none"/>
        <c:tickLblPos val="nextTo"/>
        <c:crossAx val="1505044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967437596312016E-2"/>
          <c:y val="4.6561206479510883E-2"/>
          <c:w val="0.9133240570362231"/>
          <c:h val="0.9534389781402660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Персональные данные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0-7581-452E-A58B-94302E9F0D3F}"/>
              </c:ext>
            </c:extLst>
          </c:dPt>
          <c:dPt>
            <c:idx val="1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1-7581-452E-A58B-94302E9F0D3F}"/>
              </c:ext>
            </c:extLst>
          </c:dPt>
          <c:dPt>
            <c:idx val="2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2-7581-452E-A58B-94302E9F0D3F}"/>
              </c:ext>
            </c:extLst>
          </c:dPt>
          <c:dPt>
            <c:idx val="3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3-7581-452E-A58B-94302E9F0D3F}"/>
              </c:ext>
            </c:extLst>
          </c:dPt>
          <c:dPt>
            <c:idx val="4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4-7581-452E-A58B-94302E9F0D3F}"/>
              </c:ext>
            </c:extLst>
          </c:dPt>
          <c:dPt>
            <c:idx val="5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5-7581-452E-A58B-94302E9F0D3F}"/>
              </c:ext>
            </c:extLst>
          </c:dPt>
          <c:dPt>
            <c:idx val="6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6-7581-452E-A58B-94302E9F0D3F}"/>
              </c:ext>
            </c:extLst>
          </c:dPt>
          <c:dPt>
            <c:idx val="7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7-7581-452E-A58B-94302E9F0D3F}"/>
              </c:ext>
            </c:extLst>
          </c:dPt>
          <c:dPt>
            <c:idx val="8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8-7581-452E-A58B-94302E9F0D3F}"/>
              </c:ext>
            </c:extLst>
          </c:dPt>
          <c:dPt>
            <c:idx val="9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9-7581-452E-A58B-94302E9F0D3F}"/>
              </c:ext>
            </c:extLst>
          </c:dPt>
          <c:dPt>
            <c:idx val="10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B-7581-452E-A58B-94302E9F0D3F}"/>
              </c:ext>
            </c:extLst>
          </c:dPt>
          <c:dLbls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0.92755004799999996</c:v>
                </c:pt>
                <c:pt idx="1">
                  <c:v>0.85166498499999999</c:v>
                </c:pt>
                <c:pt idx="2">
                  <c:v>0.81573499000000005</c:v>
                </c:pt>
                <c:pt idx="3">
                  <c:v>0.876157407</c:v>
                </c:pt>
                <c:pt idx="4">
                  <c:v>0.67186147200000002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7581-452E-A58B-94302E9F0D3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Платежная информация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Лист1!$A$2:$A$6</c:f>
              <c:numCache>
                <c:formatCode>General</c:formatCode>
                <c:ptCount val="5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</c:numCache>
            </c:num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D-7581-452E-A58B-94302E9F0D3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Государственная тайна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Лист1!$A$2:$A$6</c:f>
              <c:numCache>
                <c:formatCode>General</c:formatCode>
                <c:ptCount val="5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</c:numCache>
            </c:num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E-7581-452E-A58B-94302E9F0D3F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Коммерческая тайна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numRef>
              <c:f>Лист1!$A$2:$A$6</c:f>
              <c:numCache>
                <c:formatCode>General</c:formatCode>
                <c:ptCount val="5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</c:numCache>
            </c:num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0.177489177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F-7581-452E-A58B-94302E9F0D3F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Секреты производства, know-how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numRef>
              <c:f>Лист1!$A$2:$A$6</c:f>
              <c:numCache>
                <c:formatCode>General</c:formatCode>
                <c:ptCount val="5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</c:numCache>
            </c:numRef>
          </c:cat>
          <c:val>
            <c:numRef>
              <c:f>Лист1!$F$2:$F$6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0-7581-452E-A58B-94302E9F0D3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0504960"/>
        <c:axId val="152488192"/>
      </c:barChart>
      <c:catAx>
        <c:axId val="150504960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52488192"/>
        <c:crosses val="autoZero"/>
        <c:auto val="1"/>
        <c:lblAlgn val="ctr"/>
        <c:lblOffset val="100"/>
        <c:noMultiLvlLbl val="0"/>
      </c:catAx>
      <c:valAx>
        <c:axId val="152488192"/>
        <c:scaling>
          <c:orientation val="minMax"/>
          <c:min val="0.60000000000000009"/>
        </c:scaling>
        <c:delete val="1"/>
        <c:axPos val="l"/>
        <c:numFmt formatCode="General" sourceLinked="1"/>
        <c:majorTickMark val="none"/>
        <c:minorTickMark val="none"/>
        <c:tickLblPos val="nextTo"/>
        <c:crossAx val="1505049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967437596312016E-2"/>
          <c:y val="0"/>
          <c:w val="0.9133240570362231"/>
          <c:h val="0.6029172655209812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Персональные данные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0-0C7F-4203-B18F-0C4710FA1614}"/>
              </c:ext>
            </c:extLst>
          </c:dPt>
          <c:dPt>
            <c:idx val="1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1-0C7F-4203-B18F-0C4710FA1614}"/>
              </c:ext>
            </c:extLst>
          </c:dPt>
          <c:dPt>
            <c:idx val="2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2-0C7F-4203-B18F-0C4710FA1614}"/>
              </c:ext>
            </c:extLst>
          </c:dPt>
          <c:dPt>
            <c:idx val="3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3-0C7F-4203-B18F-0C4710FA1614}"/>
              </c:ext>
            </c:extLst>
          </c:dPt>
          <c:dPt>
            <c:idx val="4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4-0C7F-4203-B18F-0C4710FA1614}"/>
              </c:ext>
            </c:extLst>
          </c:dPt>
          <c:dPt>
            <c:idx val="5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5-0C7F-4203-B18F-0C4710FA1614}"/>
              </c:ext>
            </c:extLst>
          </c:dPt>
          <c:dPt>
            <c:idx val="6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6-0C7F-4203-B18F-0C4710FA1614}"/>
              </c:ext>
            </c:extLst>
          </c:dPt>
          <c:dPt>
            <c:idx val="7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7-0C7F-4203-B18F-0C4710FA1614}"/>
              </c:ext>
            </c:extLst>
          </c:dPt>
          <c:dPt>
            <c:idx val="8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8-0C7F-4203-B18F-0C4710FA1614}"/>
              </c:ext>
            </c:extLst>
          </c:dPt>
          <c:dPt>
            <c:idx val="9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9-0C7F-4203-B18F-0C4710FA1614}"/>
              </c:ext>
            </c:extLst>
          </c:dPt>
          <c:dPt>
            <c:idx val="10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B-0C7F-4203-B18F-0C4710FA1614}"/>
              </c:ext>
            </c:extLst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0.92755004766444238</c:v>
                </c:pt>
                <c:pt idx="1">
                  <c:v>0.85166498486377396</c:v>
                </c:pt>
                <c:pt idx="2">
                  <c:v>0.81573498964803315</c:v>
                </c:pt>
                <c:pt idx="3">
                  <c:v>0.87615740740740744</c:v>
                </c:pt>
                <c:pt idx="4">
                  <c:v>0.67186147186147183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0C7F-4203-B18F-0C4710FA161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Платежная информация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3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0C7F-4203-B18F-0C4710FA1614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</c:numCache>
            </c:num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8.5795996186844616E-3</c:v>
                </c:pt>
                <c:pt idx="1">
                  <c:v>8.4762865792129161E-2</c:v>
                </c:pt>
                <c:pt idx="2">
                  <c:v>9.3167701863354033E-2</c:v>
                </c:pt>
                <c:pt idx="3">
                  <c:v>0</c:v>
                </c:pt>
                <c:pt idx="4">
                  <c:v>2.1645021645021644E-2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D-0C7F-4203-B18F-0C4710FA161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Государственная тайна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2,</a:t>
                    </a:r>
                    <a:r>
                      <a:rPr lang="ru-RU"/>
                      <a:t>8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</c:numCache>
            </c:num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2.8598665395614873E-2</c:v>
                </c:pt>
                <c:pt idx="1">
                  <c:v>1.8163471241170535E-2</c:v>
                </c:pt>
                <c:pt idx="2">
                  <c:v>1.8633540372670808E-2</c:v>
                </c:pt>
                <c:pt idx="3">
                  <c:v>1.6203703703703703E-2</c:v>
                </c:pt>
                <c:pt idx="4">
                  <c:v>5.8008658008658009E-2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E-0C7F-4203-B18F-0C4710FA1614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Коммерческая тайна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</c:numCache>
            </c:num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1.9065776930409915E-2</c:v>
                </c:pt>
                <c:pt idx="1">
                  <c:v>4.0363269424823413E-2</c:v>
                </c:pt>
                <c:pt idx="2">
                  <c:v>7.1428571428571425E-2</c:v>
                </c:pt>
                <c:pt idx="3">
                  <c:v>4.2824074074074077E-2</c:v>
                </c:pt>
                <c:pt idx="4">
                  <c:v>0.1774891774891775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F-0C7F-4203-B18F-0C4710FA1614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Секреты производства, know-how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8.254377826271345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</c:numCache>
            </c:numRef>
          </c:cat>
          <c:val>
            <c:numRef>
              <c:f>Лист1!$F$2:$F$6</c:f>
              <c:numCache>
                <c:formatCode>General</c:formatCode>
                <c:ptCount val="5"/>
                <c:pt idx="0">
                  <c:v>1.6205910390848427E-2</c:v>
                </c:pt>
                <c:pt idx="1">
                  <c:v>5.0454086781029266E-3</c:v>
                </c:pt>
                <c:pt idx="2">
                  <c:v>1.0351966873706005E-3</c:v>
                </c:pt>
                <c:pt idx="3">
                  <c:v>6.4814814814814811E-2</c:v>
                </c:pt>
                <c:pt idx="4">
                  <c:v>7.0995670995671001E-2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0-0C7F-4203-B18F-0C4710FA161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0506496"/>
        <c:axId val="152489920"/>
      </c:barChart>
      <c:catAx>
        <c:axId val="1505064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2489920"/>
        <c:crosses val="autoZero"/>
        <c:auto val="1"/>
        <c:lblAlgn val="ctr"/>
        <c:lblOffset val="100"/>
        <c:noMultiLvlLbl val="0"/>
      </c:catAx>
      <c:valAx>
        <c:axId val="152489920"/>
        <c:scaling>
          <c:orientation val="minMax"/>
          <c:max val="0.2"/>
        </c:scaling>
        <c:delete val="1"/>
        <c:axPos val="l"/>
        <c:numFmt formatCode="General" sourceLinked="1"/>
        <c:majorTickMark val="none"/>
        <c:minorTickMark val="none"/>
        <c:tickLblPos val="nextTo"/>
        <c:crossAx val="1505064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8A56E0-6334-4850-BB68-D402F119D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5780</Words>
  <Characters>32947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Безопасность информации в корпоративных информационных системах. Внутренние угрозы</vt:lpstr>
    </vt:vector>
  </TitlesOfParts>
  <Company>Kaspersky LAB</Company>
  <LinksUpToDate>false</LinksUpToDate>
  <CharactersWithSpaces>38650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Безопасность информации в корпоративных информационных системах. Внутренние угрозы</dc:title>
  <dc:subject>Отчеты InfoWatch</dc:subject>
  <dc:creator>Компания InfoWatch</dc:creator>
  <cp:lastModifiedBy>Arsentev Andrey</cp:lastModifiedBy>
  <cp:revision>11</cp:revision>
  <cp:lastPrinted>2018-09-28T07:59:00Z</cp:lastPrinted>
  <dcterms:created xsi:type="dcterms:W3CDTF">2018-12-05T10:06:00Z</dcterms:created>
  <dcterms:modified xsi:type="dcterms:W3CDTF">2018-12-06T11:02:00Z</dcterms:modified>
</cp:coreProperties>
</file>